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年度泉州市直国家机关普法责任清单</w:t>
      </w:r>
    </w:p>
    <w:p>
      <w:pPr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填报单位（盖章）：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泉州市商务局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主要负责人：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张小红  报送时间;2024年 3月 5日</w:t>
      </w:r>
    </w:p>
    <w:tbl>
      <w:tblPr>
        <w:tblStyle w:val="4"/>
        <w:tblW w:w="13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81"/>
        <w:gridCol w:w="1968"/>
        <w:gridCol w:w="1536"/>
        <w:gridCol w:w="1932"/>
        <w:gridCol w:w="159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1" w:hRule="atLeast"/>
        </w:trPr>
        <w:tc>
          <w:tcPr>
            <w:tcW w:w="1951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 xml:space="preserve">    内容</w:t>
            </w:r>
          </w:p>
          <w:p>
            <w:pPr>
              <w:ind w:firstLine="281" w:firstLineChars="100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年度重点宣传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普及法律法规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重点普法对象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科室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泉州市商务局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大精神、习近平新时代中国特色社会主义思想特别是习近平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法治思想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；宪法、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民法典、国家安全法、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保守国家秘密法、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优化营商环境相关法规、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党内法规、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新颁布或新修订的法律法规规章；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八五”普法规划、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商务系统八五普法规划；</w:t>
            </w: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《区域全面经济伙伴关系协定》（RCEP）等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《中华人民共和国宪法》、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《民法典》、《中华人民共和国国家安全法》、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中华人民共和国保守国家秘密法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》、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《福建省优化营商环境条例》、《区域全面经济伙伴关系协定》（RCEP）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局党组、局全体干部职工、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各县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商务主管部门、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商务系统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政策法规科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王雪萍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办公电话：22386195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备注：联系科室只需填写一个主要科室即可。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仿宋" w:hAnsi="仿宋" w:eastAsia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年度泉州市直国家机关普法计划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填报单位（盖章）：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泉州市商务局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    主要负责人：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张小红               报送时间：2024年3月5日</w:t>
      </w: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04"/>
        <w:gridCol w:w="2776"/>
        <w:gridCol w:w="3660"/>
        <w:gridCol w:w="1769"/>
        <w:gridCol w:w="1021"/>
        <w:gridCol w:w="10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0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36" w:firstLineChars="98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机关内部学法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面向执法（服务、管理）对象及社会公众开展的普法活动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与其他部门联合开展的普法活动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线上或线下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旁听庭审活动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法治宣传阵地建设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0" w:type="dxa"/>
            <w:vMerge w:val="continue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班子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部门工作人员</w:t>
            </w:r>
          </w:p>
        </w:tc>
        <w:tc>
          <w:tcPr>
            <w:tcW w:w="366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已有阵地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拟建阵地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3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泉州市商务局</w:t>
            </w:r>
          </w:p>
        </w:tc>
        <w:tc>
          <w:tcPr>
            <w:tcW w:w="2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党组中心组组织学习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党的二十大精神、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习近平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法治思想、党风廉政法律法规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、网络安全法、优化营商环境条例等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委托法律顾问、党校教授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，依托学习强国、福建网络干部学院等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党的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二十大精神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习近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法治思想、民法典、国家安全法、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保守国家秘密法、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优化营商环境条例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对外贸易法、外商投资法、出口管制法、RCEP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等法律法规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学习</w:t>
            </w:r>
          </w:p>
        </w:tc>
        <w:tc>
          <w:tcPr>
            <w:tcW w:w="366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一季度开展商务领域安全生产专项检查并向企业普及安</w:t>
            </w:r>
            <w:bookmarkStart w:id="0" w:name="_GoBack"/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全</w:t>
            </w:r>
            <w:bookmarkEnd w:id="0"/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生产法等；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季度组织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各县市区商务主管部门、外经贸企业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《区域全面经济伙伴关系协定》（RCEP）专题讲座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；3、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季度组织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涉外法律服务律师送法进企业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；4、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全年在执法工作中宣传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相关法律法规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与泉州市司法局联合举办涉外法律知识宣传活动；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12.4与多部门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通过现场普法等方式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联合开展宪法宣传活动</w:t>
            </w:r>
          </w:p>
        </w:tc>
        <w:tc>
          <w:tcPr>
            <w:tcW w:w="102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根据统一安排，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组织领导干部现场旁听庭审活动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泉州市商务局涉外法律服务专栏（官方网站、微信公众号）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right="0" w:rightChars="0" w:hanging="1050" w:hangingChars="500"/>
        <w:jc w:val="both"/>
        <w:textAlignment w:val="auto"/>
        <w:outlineLvl w:val="9"/>
        <w:rPr>
          <w:rFonts w:hint="default" w:ascii="仿宋_GB2312" w:hAnsi="仿宋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备注：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根据中共中央办公厅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 xml:space="preserve"> 国务院办公厅印发的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《法治政府建设与责任落实督察工作规定》第九条第九项，建立部门领导班子定期学法制度，每年至少举办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2次法治专题讲座。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 xml:space="preserve">      2、根据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《泉州市建立国家工作人员旁听庭审活动常态化制度化的实施意见》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要求，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国家工作人员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参加线上或线下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旁听庭审每年不少于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 xml:space="preserve">         次，市管领导干部旁听活动每年不少于2次。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4FB857C5"/>
    <w:rsid w:val="3ED93797"/>
    <w:rsid w:val="4FB857C5"/>
    <w:rsid w:val="583366E0"/>
    <w:rsid w:val="60DD74A2"/>
    <w:rsid w:val="7DBEA089"/>
    <w:rsid w:val="FE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2024-03-05T17:42:00Z</dcterms:created>
  <dc:creator>60285</dc:creator>
  <cp:lastModifiedBy>casic</cp:lastModifiedBy>
  <cp:lastPrinted>2024-03-05T17:46:00Z</cp:lastPrinted>
  <dcterms:modified xsi:type="dcterms:W3CDTF">2025-09-18T16:35:40Z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5BDDD611E6E140B8A1166FA79F8FCAA6_11</vt:lpwstr>
  </property>
</Properties>
</file>