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泉州市征集加力支持消费品以旧换新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线下活动参与企业的通知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各有关企业：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福建省财政厅关于印发福建省加力支持消费品以旧换新实施方案》（闽发改规〔2024〕15号），我市组织开展加力支持消费品以旧换新活动。</w:t>
      </w:r>
      <w:r>
        <w:rPr>
          <w:rFonts w:hint="default" w:ascii="Times New Roman" w:hAnsi="Times New Roman" w:eastAsia="仿宋" w:cs="Times New Roman"/>
          <w:color w:val="auto"/>
          <w:sz w:val="30"/>
          <w:szCs w:val="30"/>
          <w:lang w:val="en-US" w:eastAsia="zh-CN"/>
        </w:rPr>
        <w:t>将通过中国银联“云闪付”APP，分批发放家电以旧换新、家装厨卫“焕新”等电子消费券，消费券可在参与活动线下商家门店核销。</w:t>
      </w:r>
      <w:r>
        <w:rPr>
          <w:rFonts w:hint="default" w:ascii="Times New Roman" w:hAnsi="Times New Roman" w:eastAsia="仿宋" w:cs="Times New Roman"/>
          <w:color w:val="auto"/>
          <w:sz w:val="30"/>
          <w:szCs w:val="30"/>
          <w:lang w:bidi="ar-SA"/>
        </w:rPr>
        <w:t>现</w:t>
      </w:r>
      <w:r>
        <w:rPr>
          <w:rFonts w:hint="default" w:ascii="Times New Roman" w:hAnsi="Times New Roman" w:eastAsia="仿宋" w:cs="Times New Roman"/>
          <w:color w:val="auto"/>
          <w:sz w:val="30"/>
          <w:szCs w:val="30"/>
          <w:lang w:val="en-US" w:eastAsia="zh-CN" w:bidi="ar-SA"/>
        </w:rPr>
        <w:t>征集参加</w:t>
      </w:r>
      <w:r>
        <w:rPr>
          <w:rFonts w:hint="default" w:ascii="Times New Roman" w:hAnsi="Times New Roman" w:eastAsia="仿宋" w:cs="Times New Roman"/>
          <w:color w:val="auto"/>
          <w:sz w:val="30"/>
          <w:szCs w:val="30"/>
          <w:lang w:eastAsia="zh-CN" w:bidi="ar-SA"/>
        </w:rPr>
        <w:t>家电以旧换新或家装厨卫“焕新”活动</w:t>
      </w:r>
      <w:r>
        <w:rPr>
          <w:rFonts w:hint="default" w:ascii="Times New Roman" w:hAnsi="Times New Roman" w:eastAsia="仿宋" w:cs="Times New Roman"/>
          <w:color w:val="auto"/>
          <w:sz w:val="30"/>
          <w:szCs w:val="30"/>
          <w:lang w:val="en-US" w:eastAsia="zh-CN" w:bidi="ar-SA"/>
        </w:rPr>
        <w:t>线下商家（第二批）。具体通知如下：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一、申报时间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bidi="ar-SA"/>
        </w:rPr>
      </w:pPr>
      <w:r>
        <w:rPr>
          <w:rFonts w:hint="default" w:ascii="Times New Roman" w:hAnsi="Times New Roman" w:eastAsia="仿宋" w:cs="Times New Roman"/>
          <w:color w:val="auto"/>
          <w:sz w:val="30"/>
          <w:szCs w:val="30"/>
          <w:lang w:val="en-US" w:eastAsia="zh-CN" w:bidi="ar-SA"/>
        </w:rPr>
        <w:t>自本通知发布之日起至2024年9月13日（后续符合条件的参与商户不定期动态调整更新）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黑体" w:cs="Times New Roman"/>
          <w:color w:val="auto"/>
          <w:sz w:val="30"/>
          <w:szCs w:val="30"/>
          <w:lang w:val="en-US" w:eastAsia="zh-CN" w:bidi="ar-SA"/>
        </w:rPr>
      </w:pPr>
      <w:r>
        <w:rPr>
          <w:rFonts w:hint="default" w:ascii="Times New Roman" w:hAnsi="Times New Roman" w:eastAsia="黑体" w:cs="Times New Roman"/>
          <w:color w:val="auto"/>
          <w:sz w:val="30"/>
          <w:szCs w:val="30"/>
          <w:lang w:val="en-US" w:eastAsia="zh-CN" w:bidi="ar-SA"/>
        </w:rPr>
        <w:t>征集条件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（一）企业要求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企业自愿参加以旧换消费补贴发放活动，应具备以下基本条件：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1.泉州市依法注册的独立法人企业。泉州辖区内现有至少一家线下门店，且销售“产品要求”中至少一类产品。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2.企业（或实体门店）能够通过国家统计局联网直报平台等政府数据平台，按月报送销售额数据；或基本达到联网直报条件并承诺按规范要求报送数据。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3.企业财务管理规范。使用以旧换新补贴的订单每笔开具</w:t>
      </w:r>
      <w:r>
        <w:rPr>
          <w:rFonts w:hint="default" w:ascii="Times New Roman" w:hAnsi="Times New Roman" w:eastAsia="仿宋_GB2312" w:cs="Times New Roman"/>
          <w:b w:val="0"/>
          <w:bCs w:val="0"/>
          <w:color w:val="auto"/>
          <w:sz w:val="30"/>
          <w:szCs w:val="30"/>
          <w:lang w:eastAsia="zh-CN"/>
        </w:rPr>
        <w:t>税务部门印制的</w:t>
      </w:r>
      <w:r>
        <w:rPr>
          <w:rFonts w:hint="default" w:ascii="Times New Roman" w:hAnsi="Times New Roman" w:eastAsia="仿宋_GB2312" w:cs="Times New Roman"/>
          <w:b w:val="0"/>
          <w:bCs w:val="0"/>
          <w:color w:val="auto"/>
          <w:sz w:val="30"/>
          <w:szCs w:val="30"/>
        </w:rPr>
        <w:t>销售统一发票</w:t>
      </w:r>
      <w:r>
        <w:rPr>
          <w:rFonts w:hint="default" w:ascii="Times New Roman" w:hAnsi="Times New Roman" w:eastAsia="仿宋_GB2312" w:cs="Times New Roman"/>
          <w:b w:val="0"/>
          <w:bCs w:val="0"/>
          <w:color w:val="auto"/>
          <w:sz w:val="30"/>
          <w:szCs w:val="30"/>
          <w:lang w:eastAsia="zh-CN"/>
        </w:rPr>
        <w:t>，</w:t>
      </w:r>
      <w:r>
        <w:rPr>
          <w:rFonts w:hint="default" w:ascii="Times New Roman" w:hAnsi="Times New Roman" w:eastAsia="仿宋_GB2312" w:cs="Times New Roman"/>
          <w:b w:val="0"/>
          <w:bCs w:val="0"/>
          <w:color w:val="auto"/>
          <w:sz w:val="30"/>
          <w:szCs w:val="30"/>
          <w:lang w:val="en-US" w:eastAsia="zh-CN"/>
        </w:rPr>
        <w:t>且</w:t>
      </w:r>
      <w:r>
        <w:rPr>
          <w:rFonts w:hint="default" w:ascii="Times New Roman" w:hAnsi="Times New Roman" w:eastAsia="仿宋_GB2312" w:cs="Times New Roman"/>
          <w:b w:val="0"/>
          <w:bCs w:val="0"/>
          <w:color w:val="auto"/>
          <w:sz w:val="30"/>
          <w:szCs w:val="30"/>
          <w:lang w:eastAsia="zh-CN"/>
        </w:rPr>
        <w:t>要求发票注明购买产品品类</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_GB2312" w:cs="Times New Roman"/>
          <w:b w:val="0"/>
          <w:bCs w:val="0"/>
          <w:color w:val="auto"/>
          <w:sz w:val="30"/>
          <w:szCs w:val="30"/>
          <w:lang w:eastAsia="zh-CN"/>
        </w:rPr>
        <w:t>具备与中国银联股份有限公司福建分公司进行</w:t>
      </w:r>
      <w:r>
        <w:rPr>
          <w:rFonts w:hint="default" w:ascii="Times New Roman" w:hAnsi="Times New Roman" w:eastAsia="仿宋_GB2312" w:cs="Times New Roman"/>
          <w:b w:val="0"/>
          <w:bCs w:val="0"/>
          <w:color w:val="auto"/>
          <w:sz w:val="30"/>
          <w:szCs w:val="30"/>
        </w:rPr>
        <w:t>对接的能力</w:t>
      </w:r>
      <w:r>
        <w:rPr>
          <w:rFonts w:hint="default" w:ascii="Times New Roman" w:hAnsi="Times New Roman" w:eastAsia="仿宋_GB2312" w:cs="Times New Roman"/>
          <w:b w:val="0"/>
          <w:bCs w:val="0"/>
          <w:color w:val="auto"/>
          <w:sz w:val="30"/>
          <w:szCs w:val="30"/>
          <w:lang w:val="en" w:eastAsia="zh-CN"/>
        </w:rPr>
        <w:t>，</w:t>
      </w:r>
      <w:r>
        <w:rPr>
          <w:rFonts w:hint="default" w:ascii="Times New Roman" w:hAnsi="Times New Roman" w:eastAsia="仿宋_GB2312" w:cs="Times New Roman"/>
          <w:b w:val="0"/>
          <w:bCs w:val="0"/>
          <w:color w:val="auto"/>
          <w:sz w:val="30"/>
          <w:szCs w:val="30"/>
          <w:lang w:eastAsia="zh-CN"/>
        </w:rPr>
        <w:t>能配合</w:t>
      </w:r>
      <w:r>
        <w:rPr>
          <w:rFonts w:hint="default" w:ascii="Times New Roman" w:hAnsi="Times New Roman" w:eastAsia="仿宋_GB2312" w:cs="Times New Roman"/>
          <w:b w:val="0"/>
          <w:bCs w:val="0"/>
          <w:color w:val="auto"/>
          <w:sz w:val="30"/>
          <w:szCs w:val="30"/>
          <w:lang w:val="en-US" w:eastAsia="zh-CN"/>
        </w:rPr>
        <w:t>其</w:t>
      </w:r>
      <w:r>
        <w:rPr>
          <w:rFonts w:hint="default" w:ascii="Times New Roman" w:hAnsi="Times New Roman" w:eastAsia="仿宋_GB2312" w:cs="Times New Roman"/>
          <w:b w:val="0"/>
          <w:bCs w:val="0"/>
          <w:color w:val="auto"/>
          <w:sz w:val="30"/>
          <w:szCs w:val="30"/>
          <w:lang w:eastAsia="zh-CN"/>
        </w:rPr>
        <w:t>将活动商品品类及能效等级等信息录入系统，并具备收银时识别产品信息的系统能力；</w:t>
      </w:r>
      <w:r>
        <w:rPr>
          <w:rFonts w:hint="default" w:ascii="Times New Roman" w:hAnsi="Times New Roman" w:eastAsia="仿宋" w:cs="Times New Roman"/>
          <w:color w:val="auto"/>
          <w:sz w:val="30"/>
          <w:szCs w:val="30"/>
          <w:lang w:val="en-US" w:eastAsia="zh-CN"/>
        </w:rPr>
        <w:t>按要求定期收集、汇总消费补贴发放数据，配合相关部门做好补贴资金发放情况审核；</w:t>
      </w:r>
      <w:r>
        <w:rPr>
          <w:rFonts w:hint="default" w:ascii="Times New Roman" w:hAnsi="Times New Roman" w:eastAsia="仿宋_GB2312" w:cs="Times New Roman"/>
          <w:b w:val="0"/>
          <w:bCs w:val="0"/>
          <w:color w:val="auto"/>
          <w:sz w:val="30"/>
          <w:szCs w:val="30"/>
          <w:lang w:val="en-US" w:eastAsia="zh-CN"/>
        </w:rPr>
        <w:t>具备一定的垫资能力，如有需要能配合对政府活动先行垫资</w:t>
      </w:r>
      <w:r>
        <w:rPr>
          <w:rFonts w:hint="default" w:ascii="Times New Roman" w:hAnsi="Times New Roman" w:eastAsia="仿宋" w:cs="Times New Roman"/>
          <w:color w:val="auto"/>
          <w:sz w:val="30"/>
          <w:szCs w:val="30"/>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left="0" w:right="0" w:firstLine="600" w:firstLineChars="200"/>
        <w:jc w:val="both"/>
        <w:textAlignment w:val="auto"/>
        <w:rPr>
          <w:rFonts w:hint="default" w:ascii="Times New Roman" w:hAnsi="Times New Roman" w:eastAsia="仿宋_GB2312" w:cs="Times New Roman"/>
          <w:b w:val="0"/>
          <w:bCs w:val="0"/>
          <w:color w:val="auto"/>
          <w:sz w:val="30"/>
          <w:szCs w:val="30"/>
        </w:rPr>
      </w:pPr>
      <w:r>
        <w:rPr>
          <w:rFonts w:hint="default" w:ascii="Times New Roman" w:hAnsi="Times New Roman" w:eastAsia="仿宋" w:cs="Times New Roman"/>
          <w:color w:val="auto"/>
          <w:kern w:val="2"/>
          <w:sz w:val="30"/>
          <w:szCs w:val="30"/>
          <w:lang w:val="en-US" w:eastAsia="zh-CN"/>
        </w:rPr>
        <w:t>4.服务优良，</w:t>
      </w:r>
      <w:r>
        <w:rPr>
          <w:rFonts w:hint="default" w:ascii="Times New Roman" w:hAnsi="Times New Roman" w:eastAsia="仿宋_GB2312" w:cs="Times New Roman"/>
          <w:b w:val="0"/>
          <w:bCs w:val="0"/>
          <w:color w:val="auto"/>
          <w:sz w:val="30"/>
          <w:szCs w:val="30"/>
          <w:lang w:eastAsia="zh-CN"/>
        </w:rPr>
        <w:t>在销售场所</w:t>
      </w:r>
      <w:r>
        <w:rPr>
          <w:rFonts w:hint="default" w:ascii="Times New Roman" w:hAnsi="Times New Roman" w:eastAsia="仿宋_GB2312" w:cs="Times New Roman"/>
          <w:i w:val="0"/>
          <w:color w:val="auto"/>
          <w:kern w:val="0"/>
          <w:sz w:val="30"/>
          <w:szCs w:val="30"/>
          <w:u w:val="none"/>
          <w:shd w:val="clear" w:color="auto" w:fill="FFFFFF"/>
          <w:lang w:val="en-US" w:eastAsia="zh-CN" w:bidi="ar"/>
        </w:rPr>
        <w:t>显著位置张贴消费品以旧换新统一标识及活动公告，明确活动程序，指导消费者参与活动。</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参加家电以旧换新企业应为消费者提供便捷的“上门送新并收旧”服务。应将回收的废家电交与正规拆解企业。活动期间，参与企业需按月向相关部门报送废旧家电回收数量。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5.运营守信，未被“信用中国(www.creditchina.gov.cn)”网站列入“失信被执行人或重大税收违法案件当事人名单”；不处于中国政府采购网(www.ccgp.gov.cn)“政府采购严重违法失信行为信息记录”中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（二）产品要求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根据《福建省发展和改革委员会 福建省财政厅关于印发福建省加力支持消费品以旧换新实施方案》（闽发改规〔2024〕15号），参加消费品以旧换新活动产品包含：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1.企业销售家电产品：</w:t>
      </w:r>
      <w:r>
        <w:rPr>
          <w:rFonts w:hint="default" w:ascii="Times New Roman" w:hAnsi="Times New Roman" w:eastAsia="仿宋" w:cs="Times New Roman"/>
          <w:color w:val="auto"/>
          <w:kern w:val="2"/>
          <w:sz w:val="30"/>
          <w:szCs w:val="30"/>
          <w:lang w:val="en-US" w:eastAsia="zh-CN"/>
        </w:rPr>
        <w:t>冰箱（含冰柜）、洗衣机（含洗烘一体机）、电视、空调（含家用中央空调）、电脑（含笔记本电脑，不含平板电脑、组装机）、热水器、家用灶具（含集成灶）、吸油烟机等8类家电产品。</w:t>
      </w:r>
      <w:r>
        <w:rPr>
          <w:rFonts w:hint="default" w:ascii="Times New Roman" w:hAnsi="Times New Roman" w:eastAsia="仿宋" w:cs="Times New Roman"/>
          <w:color w:val="auto"/>
          <w:sz w:val="30"/>
          <w:szCs w:val="30"/>
          <w:lang w:val="en-US" w:eastAsia="zh-CN"/>
        </w:rPr>
        <w:t>具有统一的国标13位商品编码，具有能效标识的产品应达到二级以上能效。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2.企业销售家装厨卫产品和家庭适老化产品：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①家庭厨卫类：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②智能家居类：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③家装改造类：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rPr>
      </w:pPr>
      <w:r>
        <w:rPr>
          <w:rFonts w:hint="default" w:ascii="Times New Roman" w:hAnsi="Times New Roman" w:eastAsia="仿宋" w:cs="Times New Roman"/>
          <w:color w:val="auto"/>
          <w:kern w:val="2"/>
          <w:sz w:val="30"/>
          <w:szCs w:val="30"/>
          <w:lang w:val="en-US" w:eastAsia="zh-CN"/>
        </w:rPr>
        <w:t>④支持家庭适老化产品类：护理床、轮椅（助行器）、紧急呼叫器、助听器、电子血压仪、电子血糖仪等适老化产品。</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color w:val="auto"/>
          <w:sz w:val="30"/>
          <w:szCs w:val="30"/>
          <w:lang w:val="en-US" w:eastAsia="zh-CN"/>
        </w:rPr>
        <w:t>（三）活动要求</w:t>
      </w:r>
    </w:p>
    <w:p>
      <w:pPr>
        <w:pStyle w:val="14"/>
        <w:keepNext w:val="0"/>
        <w:keepLines w:val="0"/>
        <w:pageBreakBefore w:val="0"/>
        <w:kinsoku/>
        <w:wordWrap/>
        <w:overflowPunct/>
        <w:topLinePunct w:val="0"/>
        <w:autoSpaceDE/>
        <w:autoSpaceDN/>
        <w:bidi w:val="0"/>
        <w:adjustRightInd/>
        <w:snapToGrid/>
        <w:spacing w:beforeLines="0" w:afterLines="0" w:line="520" w:lineRule="exact"/>
        <w:ind w:left="0" w:leftChars="0"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1.真实、准确向消费者告知所售商品对加力支持家电产品以旧换新活动的适用情况。每批消费券发放活动启动前无法按照要求与</w:t>
      </w:r>
      <w:r>
        <w:rPr>
          <w:rFonts w:hint="eastAsia" w:ascii="Times New Roman" w:hAnsi="Times New Roman" w:eastAsia="仿宋" w:cs="Times New Roman"/>
          <w:color w:val="auto"/>
          <w:kern w:val="2"/>
          <w:sz w:val="30"/>
          <w:szCs w:val="30"/>
          <w:lang w:val="en-US" w:eastAsia="zh-CN" w:bidi="ar-SA"/>
        </w:rPr>
        <w:t>福建银联</w:t>
      </w:r>
      <w:r>
        <w:rPr>
          <w:rFonts w:hint="default" w:ascii="Times New Roman" w:hAnsi="Times New Roman" w:eastAsia="仿宋" w:cs="Times New Roman"/>
          <w:color w:val="auto"/>
          <w:kern w:val="2"/>
          <w:sz w:val="30"/>
          <w:szCs w:val="30"/>
          <w:lang w:val="en-US" w:eastAsia="zh-CN" w:bidi="ar-SA"/>
        </w:rPr>
        <w:t>完成对接，参与商家暂停参与该批活动资格；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sz w:val="30"/>
          <w:szCs w:val="30"/>
          <w:lang w:val="en-US" w:eastAsia="zh-CN"/>
        </w:rPr>
        <w:t>2.对在活动期间因涉及</w:t>
      </w:r>
      <w:r>
        <w:rPr>
          <w:rFonts w:hint="eastAsia" w:ascii="Times New Roman" w:hAnsi="Times New Roman" w:eastAsia="仿宋" w:cs="Times New Roman"/>
          <w:color w:val="auto"/>
          <w:sz w:val="30"/>
          <w:szCs w:val="30"/>
          <w:lang w:val="en-US" w:eastAsia="zh-CN"/>
        </w:rPr>
        <w:t>以</w:t>
      </w:r>
      <w:bookmarkStart w:id="2" w:name="_GoBack"/>
      <w:bookmarkEnd w:id="2"/>
      <w:r>
        <w:rPr>
          <w:rFonts w:hint="default" w:ascii="Times New Roman" w:hAnsi="Times New Roman" w:eastAsia="仿宋" w:cs="Times New Roman"/>
          <w:color w:val="auto"/>
          <w:sz w:val="30"/>
          <w:szCs w:val="30"/>
          <w:lang w:val="en-US" w:eastAsia="zh-CN"/>
        </w:rPr>
        <w:t>旧换新消费补贴问题被消费者投诉三次（含）以上，</w:t>
      </w:r>
      <w:r>
        <w:rPr>
          <w:rFonts w:hint="default" w:ascii="Times New Roman" w:hAnsi="Times New Roman" w:eastAsia="仿宋" w:cs="Times New Roman"/>
          <w:color w:val="auto"/>
          <w:kern w:val="2"/>
          <w:sz w:val="30"/>
          <w:szCs w:val="30"/>
          <w:lang w:val="en-US" w:eastAsia="zh-CN" w:bidi="ar-SA"/>
        </w:rPr>
        <w:t>参与商家暂停参与下一批活动资格；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kern w:val="2"/>
          <w:sz w:val="30"/>
          <w:szCs w:val="30"/>
          <w:lang w:val="en-US" w:eastAsia="zh-CN" w:bidi="ar-SA"/>
        </w:rPr>
        <w:t>3.承诺消费品以旧换新补贴活动期间，商品价格不高于前一个月同一商品的月平均价。活动期间如发现</w:t>
      </w:r>
      <w:r>
        <w:rPr>
          <w:rFonts w:hint="default" w:ascii="Times New Roman" w:hAnsi="Times New Roman" w:eastAsia="仿宋" w:cs="Times New Roman"/>
          <w:color w:val="auto"/>
          <w:sz w:val="30"/>
          <w:szCs w:val="30"/>
          <w:lang w:val="en-US" w:eastAsia="zh-CN"/>
        </w:rPr>
        <w:t>乘机哄抬价格、变相涨价，侵吞补贴资金或强制捆绑、搭售等不合规行为，将立即取消活动参与资格。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4.活动期间如发现参与活动企业利用上述不正当手段骗取、套取补贴资金，将按照国家、省、市有关信用惩戒的规定予以处理，并按照有关法律、法规、规章的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三、申报</w:t>
      </w:r>
      <w:bookmarkStart w:id="0" w:name="_Toc1808079560_WPSOffice_Level1"/>
      <w:r>
        <w:rPr>
          <w:rFonts w:hint="default" w:ascii="Times New Roman" w:hAnsi="Times New Roman" w:eastAsia="黑体" w:cs="Times New Roman"/>
          <w:color w:val="auto"/>
          <w:sz w:val="30"/>
          <w:szCs w:val="30"/>
          <w:lang w:val="en-US" w:eastAsia="zh-CN"/>
        </w:rPr>
        <w:t>程序</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b/>
          <w:bCs/>
          <w:color w:val="auto"/>
          <w:sz w:val="30"/>
          <w:szCs w:val="30"/>
          <w:lang w:val="en-US" w:eastAsia="zh-CN"/>
        </w:rPr>
        <w:t>（一）填写申报材料。</w:t>
      </w:r>
      <w:r>
        <w:rPr>
          <w:rFonts w:hint="default" w:ascii="Times New Roman" w:hAnsi="Times New Roman" w:eastAsia="仿宋" w:cs="Times New Roman"/>
          <w:color w:val="auto"/>
          <w:kern w:val="2"/>
          <w:sz w:val="30"/>
          <w:szCs w:val="30"/>
          <w:lang w:val="en-US" w:eastAsia="zh-CN" w:bidi="ar-SA"/>
        </w:rPr>
        <w:t>填写《泉州市消费品以旧换新线下活动企业申报书》（附件），分别填写“企业基本情况表”；申报企业信用记录证明材料，即“信用中国(www.creditchina.gov.cn)”网站信息查询结果以及“中国政府采购网”(www.ccgp.gov.cn)政府采购严重违法失信行为信息记录”查询结果截图；承诺书。以上材料均需加盖公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kern w:val="2"/>
          <w:sz w:val="30"/>
          <w:szCs w:val="30"/>
          <w:lang w:val="en-US" w:eastAsia="zh-CN" w:bidi="ar-SA"/>
        </w:rPr>
      </w:pPr>
      <w:r>
        <w:rPr>
          <w:rFonts w:hint="default" w:ascii="Times New Roman" w:hAnsi="Times New Roman" w:eastAsia="仿宋" w:cs="Times New Roman"/>
          <w:color w:val="auto"/>
          <w:kern w:val="2"/>
          <w:sz w:val="30"/>
          <w:szCs w:val="30"/>
          <w:lang w:val="en-US" w:eastAsia="zh-CN" w:bidi="ar-SA"/>
        </w:rPr>
        <w:t>以上材料一式两份，企业所在地县（市）区、开发区、台商投资区商务主管部门留存一份，提交市商务局一份。企业提交申报材料截止日期为2024年9月13日。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 w:cs="Times New Roman"/>
          <w:color w:val="auto"/>
          <w:sz w:val="30"/>
          <w:szCs w:val="30"/>
          <w:lang w:val="en-US" w:bidi="ar-SA"/>
        </w:rPr>
      </w:pPr>
      <w:r>
        <w:rPr>
          <w:rFonts w:hint="default" w:ascii="Times New Roman" w:hAnsi="Times New Roman" w:eastAsia="仿宋" w:cs="Times New Roman"/>
          <w:color w:val="auto"/>
          <w:kern w:val="2"/>
          <w:sz w:val="30"/>
          <w:szCs w:val="30"/>
          <w:lang w:val="en-US" w:eastAsia="zh-CN" w:bidi="ar-SA"/>
        </w:rPr>
        <w:t>已参加7月22日第一批公开征集的企业（泉商务</w:t>
      </w:r>
      <w:r>
        <w:rPr>
          <w:rFonts w:hint="default" w:ascii="Times New Roman" w:hAnsi="Times New Roman" w:eastAsia="仿宋" w:cs="Times New Roman"/>
          <w:sz w:val="30"/>
          <w:szCs w:val="30"/>
          <w:lang w:val="en-US" w:eastAsia="zh-CN"/>
        </w:rPr>
        <w:t>〔2024〕96号），本批无需重复申报。</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鲤城区商务局咨询电话：0595-22355783</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丰泽区商务局咨询电话：0595-22560130</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洛江区商务局咨询电话：0595-22633802 </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泉港区商务局咨询电话：0595-87995066</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石狮市商务局咨询电话：0595-82226678</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晋江市商务局咨询电话：0595-85623322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南安市商务局咨询电话：0595-86320332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惠安县工信商务局咨询电话：0595-87391615</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永春县工信商务局咨询电话：0595-23882262</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安溪县工信商务局咨询电话：0595-23260033</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德化县工信商务局咨询电话：0595-23515960</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泉州开发区科经局咨询电话：0595-22353038</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泉州台商区科经局咨询电话：0595-27559005</w:t>
      </w:r>
    </w:p>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泉州市商务局咨询电话：0595-28382876</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 w:cs="Times New Roman"/>
          <w:color w:val="auto"/>
          <w:sz w:val="30"/>
          <w:szCs w:val="30"/>
          <w:lang w:eastAsia="zh-CN" w:bidi="ar-SA"/>
        </w:rPr>
      </w:pPr>
      <w:r>
        <w:rPr>
          <w:rFonts w:hint="default" w:ascii="Times New Roman" w:hAnsi="Times New Roman" w:eastAsia="仿宋" w:cs="Times New Roman"/>
          <w:b/>
          <w:bCs/>
          <w:color w:val="auto"/>
          <w:sz w:val="30"/>
          <w:szCs w:val="30"/>
          <w:lang w:val="en-US" w:eastAsia="zh-CN"/>
        </w:rPr>
        <w:t>（二）</w:t>
      </w:r>
      <w:r>
        <w:rPr>
          <w:rFonts w:hint="default" w:ascii="Times New Roman" w:hAnsi="Times New Roman" w:eastAsia="仿宋" w:cs="Times New Roman"/>
          <w:b/>
          <w:bCs/>
          <w:color w:val="auto"/>
          <w:sz w:val="30"/>
          <w:szCs w:val="30"/>
          <w:lang w:bidi="ar-SA"/>
        </w:rPr>
        <w:t>审</w:t>
      </w:r>
      <w:r>
        <w:rPr>
          <w:rFonts w:hint="default" w:ascii="Times New Roman" w:hAnsi="Times New Roman" w:eastAsia="仿宋" w:cs="Times New Roman"/>
          <w:b/>
          <w:bCs/>
          <w:color w:val="auto"/>
          <w:sz w:val="30"/>
          <w:szCs w:val="30"/>
          <w:lang w:eastAsia="zh-CN" w:bidi="ar-SA"/>
        </w:rPr>
        <w:t>核发布。</w:t>
      </w:r>
      <w:r>
        <w:rPr>
          <w:rFonts w:hint="default" w:ascii="Times New Roman" w:hAnsi="Times New Roman" w:eastAsia="仿宋" w:cs="Times New Roman"/>
          <w:color w:val="auto"/>
          <w:sz w:val="30"/>
          <w:szCs w:val="30"/>
          <w:lang w:val="en-US" w:eastAsia="zh-CN" w:bidi="ar-SA"/>
        </w:rPr>
        <w:t>县、市两级</w:t>
      </w:r>
      <w:r>
        <w:rPr>
          <w:rFonts w:hint="default" w:ascii="Times New Roman" w:hAnsi="Times New Roman" w:eastAsia="仿宋" w:cs="Times New Roman"/>
          <w:color w:val="auto"/>
          <w:sz w:val="30"/>
          <w:szCs w:val="30"/>
          <w:lang w:bidi="ar-SA"/>
        </w:rPr>
        <w:t>商务主管部门</w:t>
      </w:r>
      <w:r>
        <w:rPr>
          <w:rFonts w:hint="default" w:ascii="Times New Roman" w:hAnsi="Times New Roman" w:eastAsia="仿宋" w:cs="Times New Roman"/>
          <w:color w:val="auto"/>
          <w:sz w:val="30"/>
          <w:szCs w:val="30"/>
          <w:lang w:val="en-US" w:eastAsia="zh-CN"/>
        </w:rPr>
        <w:t>审定后，每批消费券活动开始前，</w:t>
      </w:r>
      <w:r>
        <w:rPr>
          <w:rFonts w:hint="default" w:ascii="Times New Roman" w:hAnsi="Times New Roman" w:eastAsia="仿宋" w:cs="Times New Roman"/>
          <w:color w:val="auto"/>
          <w:sz w:val="30"/>
          <w:szCs w:val="30"/>
          <w:lang w:bidi="ar-SA"/>
        </w:rPr>
        <w:t>将</w:t>
      </w:r>
      <w:r>
        <w:rPr>
          <w:rFonts w:hint="default" w:ascii="Times New Roman" w:hAnsi="Times New Roman" w:eastAsia="仿宋" w:cs="Times New Roman"/>
          <w:color w:val="auto"/>
          <w:sz w:val="30"/>
          <w:szCs w:val="30"/>
          <w:lang w:val="en-US" w:eastAsia="zh-CN" w:bidi="ar-SA"/>
        </w:rPr>
        <w:t>参见线下活动企业</w:t>
      </w:r>
      <w:r>
        <w:rPr>
          <w:rFonts w:hint="default" w:ascii="Times New Roman" w:hAnsi="Times New Roman" w:eastAsia="仿宋" w:cs="Times New Roman"/>
          <w:color w:val="auto"/>
          <w:sz w:val="30"/>
          <w:szCs w:val="30"/>
          <w:lang w:bidi="ar-SA"/>
        </w:rPr>
        <w:t>审</w:t>
      </w:r>
      <w:r>
        <w:rPr>
          <w:rFonts w:hint="default" w:ascii="Times New Roman" w:hAnsi="Times New Roman" w:eastAsia="仿宋" w:cs="Times New Roman"/>
          <w:color w:val="auto"/>
          <w:sz w:val="30"/>
          <w:szCs w:val="30"/>
          <w:lang w:eastAsia="zh-CN" w:bidi="ar-SA"/>
        </w:rPr>
        <w:t>定</w:t>
      </w:r>
      <w:r>
        <w:rPr>
          <w:rFonts w:hint="default" w:ascii="Times New Roman" w:hAnsi="Times New Roman" w:eastAsia="仿宋" w:cs="Times New Roman"/>
          <w:color w:val="auto"/>
          <w:sz w:val="30"/>
          <w:szCs w:val="30"/>
          <w:lang w:bidi="ar-SA"/>
        </w:rPr>
        <w:t>结果在</w:t>
      </w:r>
      <w:r>
        <w:rPr>
          <w:rFonts w:hint="default" w:ascii="Times New Roman" w:hAnsi="Times New Roman" w:eastAsia="仿宋" w:cs="Times New Roman"/>
          <w:color w:val="auto"/>
          <w:sz w:val="30"/>
          <w:szCs w:val="30"/>
          <w:lang w:val="en-US" w:eastAsia="zh-CN" w:bidi="ar-SA"/>
        </w:rPr>
        <w:t>市、县</w:t>
      </w:r>
      <w:r>
        <w:rPr>
          <w:rFonts w:hint="default" w:ascii="Times New Roman" w:hAnsi="Times New Roman" w:eastAsia="仿宋" w:cs="Times New Roman"/>
          <w:color w:val="auto"/>
          <w:sz w:val="30"/>
          <w:szCs w:val="30"/>
          <w:lang w:eastAsia="zh-CN" w:bidi="ar-SA"/>
        </w:rPr>
        <w:t>商务</w:t>
      </w:r>
      <w:r>
        <w:rPr>
          <w:rFonts w:hint="default" w:ascii="Times New Roman" w:hAnsi="Times New Roman" w:eastAsia="仿宋" w:cs="Times New Roman"/>
          <w:color w:val="auto"/>
          <w:sz w:val="30"/>
          <w:szCs w:val="30"/>
          <w:lang w:bidi="ar-SA"/>
        </w:rPr>
        <w:t>局网站</w:t>
      </w:r>
      <w:r>
        <w:rPr>
          <w:rFonts w:hint="default" w:ascii="Times New Roman" w:hAnsi="Times New Roman" w:eastAsia="仿宋" w:cs="Times New Roman"/>
          <w:color w:val="auto"/>
          <w:sz w:val="30"/>
          <w:szCs w:val="30"/>
          <w:lang w:eastAsia="zh-CN" w:bidi="ar-SA"/>
        </w:rPr>
        <w:t>、</w:t>
      </w:r>
      <w:r>
        <w:rPr>
          <w:rFonts w:hint="default" w:ascii="Times New Roman" w:hAnsi="Times New Roman" w:eastAsia="仿宋" w:cs="Times New Roman"/>
          <w:color w:val="auto"/>
          <w:sz w:val="30"/>
          <w:szCs w:val="30"/>
          <w:lang w:val="en-US" w:eastAsia="zh-CN" w:bidi="ar-SA"/>
        </w:rPr>
        <w:t>福建银联“云闪付”等媒体</w:t>
      </w:r>
      <w:r>
        <w:rPr>
          <w:rFonts w:hint="default" w:ascii="Times New Roman" w:hAnsi="Times New Roman" w:eastAsia="仿宋" w:cs="Times New Roman"/>
          <w:color w:val="auto"/>
          <w:sz w:val="30"/>
          <w:szCs w:val="30"/>
          <w:lang w:bidi="ar-SA"/>
        </w:rPr>
        <w:t>上</w:t>
      </w:r>
      <w:r>
        <w:rPr>
          <w:rFonts w:hint="default" w:ascii="Times New Roman" w:hAnsi="Times New Roman" w:eastAsia="仿宋" w:cs="Times New Roman"/>
          <w:color w:val="auto"/>
          <w:sz w:val="30"/>
          <w:szCs w:val="30"/>
          <w:lang w:val="en-US" w:eastAsia="zh-CN" w:bidi="ar-SA"/>
        </w:rPr>
        <w:t>公开</w:t>
      </w:r>
      <w:r>
        <w:rPr>
          <w:rFonts w:hint="default" w:ascii="Times New Roman" w:hAnsi="Times New Roman" w:eastAsia="仿宋" w:cs="Times New Roman"/>
          <w:color w:val="auto"/>
          <w:sz w:val="30"/>
          <w:szCs w:val="30"/>
          <w:lang w:eastAsia="zh-CN" w:bidi="ar-SA"/>
        </w:rPr>
        <w:t>发布。</w:t>
      </w:r>
    </w:p>
    <w:bookmarkEnd w:id="0"/>
    <w:p>
      <w:pPr>
        <w:keepNext w:val="0"/>
        <w:keepLines w:val="0"/>
        <w:pageBreakBefore w:val="0"/>
        <w:widowControl w:val="0"/>
        <w:tabs>
          <w:tab w:val="left" w:pos="1560"/>
        </w:tabs>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auto"/>
          <w:kern w:val="0"/>
          <w:sz w:val="32"/>
          <w:szCs w:val="32"/>
          <w:lang w:eastAsia="zh-CN"/>
        </w:rPr>
      </w:pPr>
    </w:p>
    <w:p>
      <w:pPr>
        <w:keepNext w:val="0"/>
        <w:keepLines w:val="0"/>
        <w:pageBreakBefore w:val="0"/>
        <w:tabs>
          <w:tab w:val="left" w:pos="1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附件：</w:t>
      </w:r>
      <w:r>
        <w:rPr>
          <w:rFonts w:hint="default" w:ascii="Times New Roman" w:hAnsi="Times New Roman" w:eastAsia="仿宋" w:cs="Times New Roman"/>
          <w:color w:val="auto"/>
          <w:kern w:val="0"/>
          <w:sz w:val="32"/>
          <w:szCs w:val="32"/>
          <w:lang w:val="en-US" w:eastAsia="zh-CN"/>
        </w:rPr>
        <w:t>泉州</w:t>
      </w:r>
      <w:r>
        <w:rPr>
          <w:rFonts w:hint="default" w:ascii="Times New Roman" w:hAnsi="Times New Roman" w:eastAsia="仿宋" w:cs="Times New Roman"/>
          <w:color w:val="auto"/>
          <w:kern w:val="0"/>
          <w:sz w:val="32"/>
          <w:szCs w:val="32"/>
          <w:lang w:eastAsia="zh-CN"/>
        </w:rPr>
        <w:t>市</w:t>
      </w:r>
      <w:r>
        <w:rPr>
          <w:rFonts w:hint="default" w:ascii="Times New Roman" w:hAnsi="Times New Roman" w:eastAsia="仿宋" w:cs="Times New Roman"/>
          <w:color w:val="auto"/>
          <w:kern w:val="0"/>
          <w:sz w:val="32"/>
          <w:szCs w:val="32"/>
          <w:lang w:val="en-US" w:eastAsia="zh-CN"/>
        </w:rPr>
        <w:t>消费品</w:t>
      </w:r>
      <w:r>
        <w:rPr>
          <w:rFonts w:hint="default" w:ascii="Times New Roman" w:hAnsi="Times New Roman" w:eastAsia="仿宋" w:cs="Times New Roman"/>
          <w:color w:val="auto"/>
          <w:kern w:val="0"/>
          <w:sz w:val="32"/>
          <w:szCs w:val="32"/>
          <w:lang w:eastAsia="zh-CN"/>
        </w:rPr>
        <w:t>以旧换新活动企业申报书</w:t>
      </w:r>
    </w:p>
    <w:p>
      <w:pPr>
        <w:keepNext w:val="0"/>
        <w:keepLines w:val="0"/>
        <w:pageBreakBefore w:val="0"/>
        <w:tabs>
          <w:tab w:val="left" w:pos="1560"/>
        </w:tabs>
        <w:kinsoku/>
        <w:wordWrap/>
        <w:overflowPunct/>
        <w:topLinePunct w:val="0"/>
        <w:autoSpaceDE/>
        <w:autoSpaceDN/>
        <w:bidi w:val="0"/>
        <w:adjustRightInd/>
        <w:snapToGrid/>
        <w:spacing w:line="560" w:lineRule="exact"/>
        <w:ind w:left="0" w:leftChars="0" w:right="0" w:rightChars="0" w:firstLine="5120" w:firstLineChars="1600"/>
        <w:jc w:val="both"/>
        <w:textAlignment w:val="auto"/>
        <w:rPr>
          <w:rFonts w:hint="default" w:ascii="Times New Roman" w:hAnsi="Times New Roman" w:eastAsia="仿宋" w:cs="Times New Roman"/>
          <w:color w:val="auto"/>
          <w:kern w:val="0"/>
          <w:sz w:val="32"/>
          <w:szCs w:val="32"/>
          <w:lang w:val="en-US" w:eastAsia="zh-CN"/>
        </w:rPr>
      </w:pPr>
    </w:p>
    <w:p>
      <w:pPr>
        <w:tabs>
          <w:tab w:val="left" w:pos="1560"/>
        </w:tabs>
        <w:spacing w:line="640" w:lineRule="exact"/>
        <w:ind w:right="840" w:rightChars="400"/>
        <w:jc w:val="left"/>
        <w:rPr>
          <w:rFonts w:hint="default" w:ascii="Times New Roman" w:hAnsi="Times New Roman" w:eastAsia="黑体" w:cs="Times New Roman"/>
          <w:b/>
          <w:bCs/>
          <w:color w:val="auto"/>
          <w:sz w:val="32"/>
          <w:szCs w:val="32"/>
        </w:rPr>
      </w:pPr>
    </w:p>
    <w:p>
      <w:pPr>
        <w:tabs>
          <w:tab w:val="left" w:pos="1560"/>
        </w:tabs>
        <w:spacing w:line="640" w:lineRule="exact"/>
        <w:ind w:right="840" w:rightChars="400"/>
        <w:jc w:val="left"/>
        <w:rPr>
          <w:rFonts w:hint="default" w:ascii="Times New Roman" w:hAnsi="Times New Roman" w:eastAsia="黑体" w:cs="Times New Roman"/>
          <w:b/>
          <w:bCs/>
          <w:color w:val="auto"/>
          <w:sz w:val="32"/>
          <w:szCs w:val="32"/>
          <w:lang w:val="en"/>
        </w:rPr>
      </w:pPr>
      <w:r>
        <w:rPr>
          <w:rFonts w:hint="default" w:ascii="Times New Roman" w:hAnsi="Times New Roman" w:eastAsia="黑体" w:cs="Times New Roman"/>
          <w:b/>
          <w:bCs/>
          <w:color w:val="auto"/>
          <w:sz w:val="32"/>
          <w:szCs w:val="32"/>
        </w:rPr>
        <w:t>附件</w:t>
      </w:r>
      <w:r>
        <w:rPr>
          <w:rFonts w:hint="default" w:ascii="Times New Roman" w:hAnsi="Times New Roman" w:eastAsia="黑体" w:cs="Times New Roman"/>
          <w:b/>
          <w:bCs/>
          <w:color w:val="auto"/>
          <w:sz w:val="32"/>
          <w:szCs w:val="32"/>
          <w:lang w:val="en"/>
        </w:rPr>
        <w:t>:</w:t>
      </w:r>
    </w:p>
    <w:p>
      <w:pPr>
        <w:jc w:val="center"/>
        <w:rPr>
          <w:rFonts w:hint="default" w:ascii="Times New Roman" w:hAnsi="Times New Roman" w:cs="Times New Roman"/>
          <w:b/>
          <w:bCs/>
          <w:color w:val="auto"/>
          <w:sz w:val="52"/>
          <w:szCs w:val="72"/>
        </w:rPr>
      </w:pPr>
    </w:p>
    <w:p>
      <w:pPr>
        <w:jc w:val="center"/>
        <w:rPr>
          <w:rFonts w:hint="default" w:ascii="Times New Roman" w:hAnsi="Times New Roman" w:eastAsia="方正小标宋_GBK" w:cs="Times New Roman"/>
          <w:color w:val="auto"/>
          <w:sz w:val="48"/>
          <w:szCs w:val="48"/>
          <w:lang w:val="en-US" w:eastAsia="zh-CN"/>
        </w:rPr>
      </w:pPr>
    </w:p>
    <w:p>
      <w:pPr>
        <w:jc w:val="center"/>
        <w:rPr>
          <w:rFonts w:hint="default" w:ascii="Times New Roman" w:hAnsi="Times New Roman" w:eastAsia="方正小标宋_GBK" w:cs="Times New Roman"/>
          <w:color w:val="auto"/>
          <w:sz w:val="48"/>
          <w:szCs w:val="48"/>
          <w:lang w:val="en-US" w:eastAsia="zh-CN"/>
        </w:rPr>
      </w:pPr>
    </w:p>
    <w:p>
      <w:pPr>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lang w:val="en-US" w:eastAsia="zh-CN"/>
        </w:rPr>
        <w:t>泉州</w:t>
      </w:r>
      <w:r>
        <w:rPr>
          <w:rFonts w:hint="default" w:ascii="Times New Roman" w:hAnsi="Times New Roman" w:eastAsia="方正小标宋_GBK" w:cs="Times New Roman"/>
          <w:color w:val="auto"/>
          <w:sz w:val="48"/>
          <w:szCs w:val="48"/>
          <w:lang w:eastAsia="zh-CN"/>
        </w:rPr>
        <w:t>市</w:t>
      </w:r>
      <w:r>
        <w:rPr>
          <w:rFonts w:hint="default" w:ascii="Times New Roman" w:hAnsi="Times New Roman" w:eastAsia="方正小标宋_GBK" w:cs="Times New Roman"/>
          <w:color w:val="auto"/>
          <w:sz w:val="48"/>
          <w:szCs w:val="48"/>
          <w:lang w:val="en-US" w:eastAsia="zh-CN"/>
        </w:rPr>
        <w:t>消费品</w:t>
      </w:r>
      <w:r>
        <w:rPr>
          <w:rFonts w:hint="default" w:ascii="Times New Roman" w:hAnsi="Times New Roman" w:eastAsia="方正小标宋_GBK" w:cs="Times New Roman"/>
          <w:color w:val="auto"/>
          <w:sz w:val="48"/>
          <w:szCs w:val="48"/>
        </w:rPr>
        <w:t>以旧换新企业申报书</w:t>
      </w:r>
    </w:p>
    <w:p>
      <w:pPr>
        <w:jc w:val="center"/>
        <w:rPr>
          <w:rFonts w:hint="default" w:ascii="Times New Roman" w:hAnsi="Times New Roman" w:eastAsia="CESI楷体-GB2312" w:cs="Times New Roman"/>
          <w:color w:val="auto"/>
          <w:sz w:val="44"/>
          <w:szCs w:val="44"/>
          <w:lang w:eastAsia="zh-CN"/>
        </w:rPr>
      </w:pPr>
      <w:r>
        <w:rPr>
          <w:rFonts w:hint="default" w:ascii="Times New Roman" w:hAnsi="Times New Roman" w:eastAsia="CESI楷体-GB2312" w:cs="Times New Roman"/>
          <w:color w:val="auto"/>
          <w:sz w:val="44"/>
          <w:szCs w:val="44"/>
          <w:lang w:val="en-US" w:eastAsia="zh-CN"/>
        </w:rPr>
        <w:t>（2024年</w:t>
      </w:r>
      <w:r>
        <w:rPr>
          <w:rFonts w:hint="default" w:ascii="Times New Roman" w:hAnsi="Times New Roman" w:eastAsia="CESI楷体-GB2312" w:cs="Times New Roman"/>
          <w:color w:val="auto"/>
          <w:sz w:val="44"/>
          <w:szCs w:val="44"/>
          <w:lang w:eastAsia="zh-CN"/>
        </w:rPr>
        <w:t>）</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b/>
          <w:bCs/>
          <w:color w:val="auto"/>
          <w:sz w:val="28"/>
          <w:szCs w:val="36"/>
        </w:rPr>
      </w:pPr>
    </w:p>
    <w:p>
      <w:pPr>
        <w:rPr>
          <w:rFonts w:hint="default" w:ascii="Times New Roman" w:hAnsi="Times New Roman" w:cs="Times New Roman"/>
          <w:b/>
          <w:bCs/>
          <w:color w:val="auto"/>
          <w:sz w:val="28"/>
          <w:szCs w:val="36"/>
        </w:rPr>
      </w:pPr>
    </w:p>
    <w:p>
      <w:pPr>
        <w:spacing w:after="312" w:afterLines="100" w:line="360" w:lineRule="auto"/>
        <w:ind w:firstLine="1606" w:firstLineChars="500"/>
        <w:rPr>
          <w:rFonts w:hint="default" w:ascii="Times New Roman" w:hAnsi="Times New Roman" w:cs="Times New Roman"/>
          <w:b/>
          <w:bCs/>
          <w:color w:val="auto"/>
          <w:sz w:val="32"/>
          <w:szCs w:val="40"/>
        </w:rPr>
      </w:pPr>
      <w:r>
        <w:rPr>
          <w:rFonts w:hint="default" w:ascii="Times New Roman" w:hAnsi="Times New Roman" w:cs="Times New Roman"/>
          <w:b/>
          <w:bCs/>
          <w:color w:val="auto"/>
          <w:sz w:val="32"/>
          <w:szCs w:val="40"/>
        </w:rPr>
        <w:t>申请企业：</w:t>
      </w:r>
      <w:r>
        <w:rPr>
          <w:rFonts w:hint="default" w:ascii="Times New Roman" w:hAnsi="Times New Roman" w:cs="Times New Roman"/>
          <w:b/>
          <w:bCs/>
          <w:color w:val="auto"/>
          <w:sz w:val="32"/>
          <w:szCs w:val="40"/>
          <w:u w:val="single"/>
        </w:rPr>
        <w:t xml:space="preserve">                    </w:t>
      </w:r>
      <w:r>
        <w:rPr>
          <w:rFonts w:hint="default" w:ascii="Times New Roman" w:hAnsi="Times New Roman" w:cs="Times New Roman"/>
          <w:b/>
          <w:bCs/>
          <w:color w:val="auto"/>
          <w:sz w:val="32"/>
          <w:szCs w:val="40"/>
        </w:rPr>
        <w:t>（盖章）</w:t>
      </w:r>
    </w:p>
    <w:p>
      <w:pPr>
        <w:spacing w:line="360" w:lineRule="auto"/>
        <w:ind w:firstLine="1606" w:firstLineChars="500"/>
        <w:rPr>
          <w:rFonts w:hint="default" w:ascii="Times New Roman" w:hAnsi="Times New Roman" w:cs="Times New Roman"/>
          <w:b/>
          <w:bCs/>
          <w:color w:val="auto"/>
          <w:sz w:val="32"/>
          <w:szCs w:val="40"/>
        </w:rPr>
        <w:sectPr>
          <w:footerReference r:id="rId3" w:type="default"/>
          <w:pgSz w:w="11906" w:h="16838"/>
          <w:pgMar w:top="1304" w:right="1474" w:bottom="130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cs="Times New Roman"/>
          <w:b/>
          <w:bCs/>
          <w:color w:val="auto"/>
          <w:sz w:val="32"/>
          <w:szCs w:val="40"/>
        </w:rPr>
        <w:t xml:space="preserve">申请日期：     年     月     日 </w:t>
      </w:r>
    </w:p>
    <w:p>
      <w:pPr>
        <w:jc w:val="center"/>
        <w:rPr>
          <w:rFonts w:hint="default" w:ascii="Times New Roman" w:hAnsi="Times New Roman" w:eastAsia="宋体" w:cs="Times New Roman"/>
          <w:b/>
          <w:bCs/>
          <w:color w:val="auto"/>
          <w:sz w:val="40"/>
          <w:szCs w:val="40"/>
        </w:rPr>
      </w:pPr>
      <w:bookmarkStart w:id="1" w:name="_Toc1193886875_WPSOffice_Type1"/>
    </w:p>
    <w:p>
      <w:pPr>
        <w:jc w:val="center"/>
        <w:rPr>
          <w:rFonts w:hint="default" w:ascii="Times New Roman" w:hAnsi="Times New Roman" w:eastAsia="宋体" w:cs="Times New Roman"/>
          <w:b/>
          <w:bCs/>
          <w:color w:val="auto"/>
          <w:sz w:val="40"/>
          <w:szCs w:val="40"/>
        </w:rPr>
      </w:pPr>
      <w:r>
        <w:rPr>
          <w:rFonts w:hint="default" w:ascii="Times New Roman" w:hAnsi="Times New Roman" w:eastAsia="宋体" w:cs="Times New Roman"/>
          <w:b/>
          <w:bCs/>
          <w:color w:val="auto"/>
          <w:sz w:val="40"/>
          <w:szCs w:val="40"/>
        </w:rPr>
        <w:t>目  录</w:t>
      </w:r>
    </w:p>
    <w:p>
      <w:pPr>
        <w:pStyle w:val="5"/>
        <w:spacing w:before="0" w:after="0" w:line="240" w:lineRule="auto"/>
        <w:rPr>
          <w:rFonts w:hint="default" w:ascii="Times New Roman" w:hAnsi="Times New Roman" w:cs="Times New Roman"/>
        </w:rPr>
      </w:pPr>
    </w:p>
    <w:p>
      <w:pPr>
        <w:pStyle w:val="15"/>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"_Toc1808079560_WPSOffice_Level1"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一、企业</w:t>
      </w:r>
      <w:r>
        <w:rPr>
          <w:rFonts w:hint="default" w:ascii="Times New Roman" w:hAnsi="Times New Roman" w:eastAsia="仿宋_GB2312" w:cs="Times New Roman"/>
          <w:color w:val="auto"/>
          <w:sz w:val="32"/>
          <w:szCs w:val="32"/>
          <w:lang w:eastAsia="zh-CN"/>
        </w:rPr>
        <w:t>基本情况</w:t>
      </w:r>
      <w:r>
        <w:rPr>
          <w:rFonts w:hint="default" w:ascii="Times New Roman" w:hAnsi="Times New Roman" w:eastAsia="仿宋_GB2312" w:cs="Times New Roman"/>
          <w:color w:val="auto"/>
          <w:sz w:val="32"/>
          <w:szCs w:val="32"/>
          <w:lang w:val="en-US" w:eastAsia="zh-CN"/>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pPr>
        <w:pStyle w:val="15"/>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"_Toc1031610955_WPSOffice_Level1"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二、</w:t>
      </w:r>
      <w:r>
        <w:rPr>
          <w:rFonts w:hint="default" w:ascii="Times New Roman" w:hAnsi="Times New Roman" w:eastAsia="华文仿宋" w:cs="Times New Roman"/>
          <w:i w:val="0"/>
          <w:iCs w:val="0"/>
          <w:caps w:val="0"/>
          <w:color w:val="auto"/>
          <w:spacing w:val="0"/>
          <w:sz w:val="32"/>
          <w:szCs w:val="32"/>
          <w:shd w:val="clear" w:color="auto" w:fill="FFFFFF"/>
        </w:rPr>
        <w:t>信用记录证明材料</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p>
    <w:p>
      <w:pPr>
        <w:pStyle w:val="15"/>
        <w:tabs>
          <w:tab w:val="right" w:leader="dot" w:pos="8306"/>
        </w:tabs>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fldChar w:fldCharType="end"/>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"_Toc1923865650_WPSOffice_Level1" </w:instrText>
      </w:r>
      <w:r>
        <w:rPr>
          <w:rFonts w:hint="default" w:ascii="Times New Roman" w:hAnsi="Times New Roman" w:cs="Times New Roman"/>
          <w:color w:val="auto"/>
          <w:sz w:val="32"/>
          <w:szCs w:val="32"/>
        </w:rPr>
        <w:fldChar w:fldCharType="separate"/>
      </w:r>
      <w:r>
        <w:rPr>
          <w:rFonts w:hint="default" w:ascii="Times New Roman" w:hAnsi="Times New Roman" w:eastAsia="华文仿宋" w:cs="Times New Roman"/>
          <w:i w:val="0"/>
          <w:iCs w:val="0"/>
          <w:caps w:val="0"/>
          <w:color w:val="auto"/>
          <w:spacing w:val="0"/>
          <w:w w:val="100"/>
          <w:sz w:val="32"/>
          <w:szCs w:val="32"/>
          <w:shd w:val="clear" w:color="auto" w:fill="FFFFFF"/>
          <w:lang w:eastAsia="zh-CN"/>
        </w:rPr>
        <w:t>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fldChar w:fldCharType="end"/>
      </w:r>
    </w:p>
    <w:p>
      <w:pPr>
        <w:pStyle w:val="6"/>
        <w:jc w:val="center"/>
        <w:rPr>
          <w:rFonts w:hint="default" w:ascii="Times New Roman" w:hAnsi="Times New Roman" w:cs="Times New Roman"/>
          <w:b/>
          <w:bCs w:val="0"/>
          <w:color w:val="auto"/>
          <w:sz w:val="36"/>
          <w:szCs w:val="36"/>
        </w:rPr>
      </w:pPr>
    </w:p>
    <w:p>
      <w:pPr>
        <w:pStyle w:val="6"/>
        <w:jc w:val="center"/>
        <w:rPr>
          <w:rFonts w:hint="default" w:ascii="Times New Roman" w:hAnsi="Times New Roman" w:cs="Times New Roman"/>
          <w:b/>
          <w:bCs w:val="0"/>
          <w:color w:val="auto"/>
          <w:sz w:val="36"/>
          <w:szCs w:val="36"/>
        </w:rPr>
      </w:pPr>
    </w:p>
    <w:p>
      <w:pPr>
        <w:pStyle w:val="6"/>
        <w:jc w:val="center"/>
        <w:rPr>
          <w:rFonts w:hint="default" w:ascii="Times New Roman" w:hAnsi="Times New Roman" w:cs="Times New Roman"/>
          <w:b/>
          <w:bCs w:val="0"/>
          <w:color w:val="auto"/>
          <w:sz w:val="36"/>
          <w:szCs w:val="36"/>
        </w:rPr>
      </w:pPr>
    </w:p>
    <w:p>
      <w:pPr>
        <w:pStyle w:val="6"/>
        <w:jc w:val="center"/>
        <w:rPr>
          <w:rFonts w:hint="default" w:ascii="Times New Roman" w:hAnsi="Times New Roman" w:cs="Times New Roman"/>
          <w:b/>
          <w:bCs w:val="0"/>
          <w:color w:val="auto"/>
          <w:sz w:val="36"/>
          <w:szCs w:val="36"/>
        </w:rPr>
      </w:pPr>
    </w:p>
    <w:p>
      <w:pPr>
        <w:pStyle w:val="6"/>
        <w:jc w:val="center"/>
        <w:rPr>
          <w:rFonts w:hint="default" w:ascii="Times New Roman" w:hAnsi="Times New Roman" w:cs="Times New Roman"/>
          <w:b/>
          <w:bCs w:val="0"/>
          <w:color w:val="auto"/>
          <w:sz w:val="36"/>
          <w:szCs w:val="36"/>
        </w:rPr>
      </w:pPr>
    </w:p>
    <w:p>
      <w:pPr>
        <w:pStyle w:val="6"/>
        <w:jc w:val="center"/>
        <w:rPr>
          <w:rFonts w:hint="default" w:ascii="Times New Roman" w:hAnsi="Times New Roman" w:cs="Times New Roman"/>
          <w:b/>
          <w:bCs w:val="0"/>
          <w:color w:val="auto"/>
          <w:sz w:val="36"/>
          <w:szCs w:val="36"/>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bidi w:val="0"/>
        <w:jc w:val="center"/>
        <w:rPr>
          <w:rFonts w:hint="default" w:ascii="Times New Roman" w:hAnsi="Times New Roman" w:cs="Times New Roman"/>
          <w:b/>
          <w:bCs/>
          <w:sz w:val="44"/>
          <w:szCs w:val="44"/>
        </w:rPr>
      </w:pPr>
    </w:p>
    <w:p>
      <w:pPr>
        <w:rPr>
          <w:rFonts w:hint="default" w:ascii="Times New Roman" w:hAnsi="Times New Roman" w:cs="Times New Roman"/>
        </w:rPr>
      </w:pPr>
    </w:p>
    <w:p>
      <w:pPr>
        <w:rPr>
          <w:rFonts w:hint="default" w:ascii="Times New Roman" w:hAnsi="Times New Roman" w:cs="Times New Roman"/>
          <w:color w:val="auto"/>
          <w:sz w:val="22"/>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bidi w:val="0"/>
        <w:jc w:val="center"/>
        <w:rPr>
          <w:rFonts w:hint="default" w:ascii="Times New Roman" w:hAnsi="Times New Roman" w:cs="Times New Roman"/>
          <w:sz w:val="44"/>
          <w:szCs w:val="44"/>
        </w:rPr>
      </w:pPr>
      <w:r>
        <w:rPr>
          <w:rFonts w:hint="default" w:ascii="Times New Roman" w:hAnsi="Times New Roman" w:cs="Times New Roman"/>
          <w:b/>
          <w:bCs/>
          <w:sz w:val="44"/>
          <w:szCs w:val="44"/>
        </w:rPr>
        <w:t>企业基本</w:t>
      </w:r>
      <w:r>
        <w:rPr>
          <w:rFonts w:hint="default" w:ascii="Times New Roman" w:hAnsi="Times New Roman" w:cs="Times New Roman"/>
          <w:b/>
          <w:bCs/>
          <w:sz w:val="44"/>
          <w:szCs w:val="44"/>
          <w:lang w:val="en-US" w:eastAsia="zh-CN"/>
        </w:rPr>
        <w:t>情况</w:t>
      </w:r>
      <w:r>
        <w:rPr>
          <w:rFonts w:hint="default" w:ascii="Times New Roman" w:hAnsi="Times New Roman" w:cs="Times New Roman"/>
          <w:b/>
          <w:bCs/>
          <w:sz w:val="44"/>
          <w:szCs w:val="44"/>
        </w:rPr>
        <w:t>表</w:t>
      </w:r>
    </w:p>
    <w:tbl>
      <w:tblPr>
        <w:tblStyle w:val="11"/>
        <w:tblpPr w:leftFromText="180" w:rightFromText="180" w:vertAnchor="text" w:horzAnchor="page" w:tblpX="1193" w:tblpY="606"/>
        <w:tblOverlap w:val="never"/>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631"/>
        <w:gridCol w:w="1622"/>
        <w:gridCol w:w="281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rPr>
              <w:t>申报企业</w:t>
            </w:r>
            <w:r>
              <w:rPr>
                <w:rFonts w:hint="default" w:ascii="Times New Roman" w:hAnsi="Times New Roman" w:eastAsia="仿宋_GB2312" w:cs="Times New Roman"/>
                <w:b/>
                <w:bCs/>
                <w:color w:val="auto"/>
                <w:sz w:val="28"/>
                <w:szCs w:val="28"/>
                <w:lang w:val="en-US" w:eastAsia="zh-CN"/>
              </w:rPr>
              <w:t>名称</w:t>
            </w:r>
          </w:p>
        </w:tc>
        <w:tc>
          <w:tcPr>
            <w:tcW w:w="62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统一信用代码</w:t>
            </w:r>
          </w:p>
        </w:tc>
        <w:tc>
          <w:tcPr>
            <w:tcW w:w="62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注册</w:t>
            </w:r>
            <w:r>
              <w:rPr>
                <w:rFonts w:hint="default" w:ascii="Times New Roman" w:hAnsi="Times New Roman" w:eastAsia="仿宋_GB2312" w:cs="Times New Roman"/>
                <w:b/>
                <w:bCs/>
                <w:color w:val="auto"/>
                <w:sz w:val="28"/>
                <w:szCs w:val="28"/>
              </w:rPr>
              <w:t>地址</w:t>
            </w:r>
          </w:p>
        </w:tc>
        <w:tc>
          <w:tcPr>
            <w:tcW w:w="62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sz w:val="28"/>
                <w:szCs w:val="28"/>
                <w:lang w:val="en-US" w:eastAsia="zh-CN"/>
              </w:rPr>
              <w:t>国家统计局联网直报账号</w:t>
            </w:r>
          </w:p>
        </w:tc>
        <w:tc>
          <w:tcPr>
            <w:tcW w:w="62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企业法人</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联系人</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rPr>
              <w:t xml:space="preserve">联系电话 </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电子邮箱</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0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参与活动企业门店名称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lang w:val="en-US" w:eastAsia="zh-CN"/>
              </w:rPr>
              <w:t>（门店较多可附表）</w:t>
            </w:r>
          </w:p>
        </w:tc>
        <w:tc>
          <w:tcPr>
            <w:tcW w:w="62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u w:val="single"/>
                <w:lang w:val="en-US" w:eastAsia="zh-CN"/>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05" w:type="dxa"/>
            <w:gridSpan w:val="2"/>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8"/>
                <w:szCs w:val="28"/>
              </w:rPr>
            </w:pPr>
          </w:p>
        </w:tc>
        <w:tc>
          <w:tcPr>
            <w:tcW w:w="622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val="en-US" w:eastAsia="zh-CN"/>
              </w:rPr>
              <w:t>名称：</w:t>
            </w:r>
            <w:r>
              <w:rPr>
                <w:rFonts w:hint="default" w:ascii="Times New Roman" w:hAnsi="Times New Roman" w:eastAsia="仿宋_GB2312" w:cs="Times New Roman"/>
                <w:color w:val="auto"/>
                <w:sz w:val="24"/>
                <w:szCs w:val="32"/>
                <w:u w:val="single"/>
                <w:lang w:val="en-US" w:eastAsia="zh-CN"/>
              </w:rPr>
              <w:t xml:space="preserve">           </w:t>
            </w:r>
            <w:r>
              <w:rPr>
                <w:rFonts w:hint="default" w:ascii="Times New Roman" w:hAnsi="Times New Roman" w:eastAsia="仿宋_GB2312" w:cs="Times New Roman"/>
                <w:color w:val="auto"/>
                <w:sz w:val="24"/>
                <w:szCs w:val="32"/>
                <w:u w:val="none"/>
                <w:lang w:val="en-US" w:eastAsia="zh-CN"/>
              </w:rPr>
              <w:t xml:space="preserve"> ；详细地址</w:t>
            </w:r>
            <w:r>
              <w:rPr>
                <w:rFonts w:hint="default" w:ascii="Times New Roman" w:hAnsi="Times New Roman" w:eastAsia="仿宋_GB2312" w:cs="Times New Roman"/>
                <w:color w:val="auto"/>
                <w:sz w:val="24"/>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0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企业资产总额（万元）</w:t>
            </w:r>
          </w:p>
        </w:tc>
        <w:tc>
          <w:tcPr>
            <w:tcW w:w="16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281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sz w:val="28"/>
                <w:szCs w:val="28"/>
              </w:rPr>
              <w:t>从业人数（人）</w:t>
            </w:r>
          </w:p>
        </w:tc>
        <w:tc>
          <w:tcPr>
            <w:tcW w:w="17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参与以旧换新活动家电产品：</w:t>
            </w:r>
            <w:r>
              <w:rPr>
                <w:rFonts w:hint="default" w:ascii="Times New Roman" w:hAnsi="Times New Roman" w:eastAsia="仿宋_GB2312" w:cs="Times New Roman"/>
                <w:b w:val="0"/>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u w:val="single"/>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（产品明细分类见正文“产品要求”，活动商品品类及能效等级等信息将配合福建银联录入系统）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9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参与以旧换新活动家装厨卫产品和家庭适老化产品：</w:t>
            </w:r>
            <w:r>
              <w:rPr>
                <w:rFonts w:hint="default" w:ascii="Times New Roman" w:hAnsi="Times New Roman" w:eastAsia="仿宋_GB2312" w:cs="Times New Roman"/>
                <w:b w:val="0"/>
                <w:bCs w:val="0"/>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sz w:val="21"/>
                <w:szCs w:val="21"/>
                <w:u w:val="single"/>
                <w:lang w:val="en-US" w:eastAsia="zh-CN"/>
              </w:rPr>
            </w:pPr>
            <w:r>
              <w:rPr>
                <w:rFonts w:hint="default" w:ascii="Times New Roman" w:hAnsi="Times New Roman" w:eastAsia="宋体" w:cs="Times New Roman"/>
                <w:b w:val="0"/>
                <w:bCs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宋体" w:cs="Times New Roman"/>
                <w:b w:val="0"/>
                <w:bCs w:val="0"/>
                <w:sz w:val="21"/>
                <w:szCs w:val="21"/>
                <w:lang w:val="en-US" w:eastAsia="zh-CN"/>
              </w:rPr>
              <w:t>（产品明细分类见正文“产品要求”，活动商品品类等信息将配合福建银联录入系统）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929" w:type="dxa"/>
            <w:gridSpan w:val="5"/>
            <w:tcBorders>
              <w:top w:val="single" w:color="auto" w:sz="4" w:space="0"/>
            </w:tcBorders>
            <w:noWrap w:val="0"/>
            <w:vAlign w:val="center"/>
          </w:tcPr>
          <w:p>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仅参与家电以旧换新活动企业填写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705" w:type="dxa"/>
            <w:gridSpan w:val="2"/>
            <w:noWrap w:val="0"/>
            <w:vAlign w:val="center"/>
          </w:tcPr>
          <w:p>
            <w:pPr>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2023年</w:t>
            </w:r>
            <w:r>
              <w:rPr>
                <w:rFonts w:hint="default" w:ascii="Times New Roman" w:hAnsi="Times New Roman" w:eastAsia="仿宋_GB2312" w:cs="Times New Roman"/>
                <w:b w:val="0"/>
                <w:bCs w:val="0"/>
                <w:color w:val="auto"/>
                <w:sz w:val="24"/>
                <w:szCs w:val="24"/>
                <w:lang w:val="en-US" w:eastAsia="zh-CN"/>
              </w:rPr>
              <w:t>家电</w:t>
            </w:r>
            <w:r>
              <w:rPr>
                <w:rFonts w:hint="default" w:ascii="Times New Roman" w:hAnsi="Times New Roman" w:eastAsia="仿宋_GB2312" w:cs="Times New Roman"/>
                <w:b w:val="0"/>
                <w:bCs w:val="0"/>
                <w:color w:val="auto"/>
                <w:sz w:val="24"/>
                <w:szCs w:val="24"/>
              </w:rPr>
              <w:t>以旧换新销售额</w:t>
            </w:r>
          </w:p>
          <w:p>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（万元）</w:t>
            </w:r>
          </w:p>
        </w:tc>
        <w:tc>
          <w:tcPr>
            <w:tcW w:w="1622" w:type="dxa"/>
            <w:noWrap w:val="0"/>
            <w:vAlign w:val="center"/>
          </w:tcPr>
          <w:p>
            <w:pPr>
              <w:jc w:val="center"/>
              <w:rPr>
                <w:rFonts w:hint="default" w:ascii="Times New Roman" w:hAnsi="Times New Roman" w:eastAsia="仿宋_GB2312" w:cs="Times New Roman"/>
                <w:b w:val="0"/>
                <w:bCs w:val="0"/>
                <w:color w:val="auto"/>
                <w:sz w:val="24"/>
                <w:szCs w:val="24"/>
              </w:rPr>
            </w:pPr>
          </w:p>
        </w:tc>
        <w:tc>
          <w:tcPr>
            <w:tcW w:w="2817" w:type="dxa"/>
            <w:noWrap w:val="0"/>
            <w:vAlign w:val="center"/>
          </w:tcPr>
          <w:p>
            <w:pPr>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2023年</w:t>
            </w:r>
            <w:r>
              <w:rPr>
                <w:rFonts w:hint="default" w:ascii="Times New Roman" w:hAnsi="Times New Roman" w:eastAsia="仿宋_GB2312" w:cs="Times New Roman"/>
                <w:b w:val="0"/>
                <w:bCs w:val="0"/>
                <w:color w:val="auto"/>
                <w:sz w:val="24"/>
                <w:szCs w:val="24"/>
              </w:rPr>
              <w:t>废旧家电回收量</w:t>
            </w:r>
            <w:r>
              <w:rPr>
                <w:rFonts w:hint="default" w:ascii="Times New Roman" w:hAnsi="Times New Roman" w:eastAsia="仿宋_GB2312" w:cs="Times New Roman"/>
                <w:b w:val="0"/>
                <w:bCs w:val="0"/>
                <w:color w:val="auto"/>
                <w:sz w:val="24"/>
                <w:szCs w:val="24"/>
                <w:lang w:eastAsia="zh-CN"/>
              </w:rPr>
              <w:t>（台）</w:t>
            </w:r>
          </w:p>
        </w:tc>
        <w:tc>
          <w:tcPr>
            <w:tcW w:w="1785" w:type="dxa"/>
            <w:noWrap w:val="0"/>
            <w:vAlign w:val="center"/>
          </w:tcPr>
          <w:p>
            <w:pPr>
              <w:jc w:val="center"/>
              <w:rPr>
                <w:rFonts w:hint="default" w:ascii="Times New Roman" w:hAnsi="Times New Roman" w:eastAsia="仿宋_GB2312" w:cs="Times New Roman"/>
                <w:b w:val="0"/>
                <w:bCs w:val="0"/>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74" w:type="dxa"/>
            <w:noWrap w:val="0"/>
            <w:vAlign w:val="center"/>
          </w:tcPr>
          <w:p>
            <w:pPr>
              <w:jc w:val="center"/>
              <w:rPr>
                <w:rFonts w:hint="default" w:ascii="Times New Roman" w:hAnsi="Times New Roman" w:eastAsia="仿宋_GB2312" w:cs="Times New Roman"/>
                <w:b/>
                <w:bCs/>
                <w:color w:val="auto"/>
                <w:sz w:val="24"/>
                <w:szCs w:val="24"/>
                <w:lang w:eastAsia="zh-CN"/>
              </w:rPr>
            </w:pPr>
            <w:r>
              <w:rPr>
                <w:rFonts w:hint="default" w:ascii="Times New Roman" w:hAnsi="Times New Roman" w:eastAsia="仿宋" w:cs="Times New Roman"/>
                <w:color w:val="000000" w:themeColor="text1"/>
                <w:kern w:val="0"/>
                <w:sz w:val="20"/>
                <w:szCs w:val="20"/>
                <w14:textFill>
                  <w14:solidFill>
                    <w14:schemeClr w14:val="tx1"/>
                  </w14:solidFill>
                </w14:textFill>
              </w:rPr>
              <w:t>申请</w:t>
            </w:r>
            <w:r>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t>企业</w:t>
            </w:r>
            <w:r>
              <w:rPr>
                <w:rFonts w:hint="default" w:ascii="Times New Roman" w:hAnsi="Times New Roman" w:eastAsia="仿宋" w:cs="Times New Roman"/>
                <w:color w:val="000000" w:themeColor="text1"/>
                <w:kern w:val="0"/>
                <w:sz w:val="20"/>
                <w:szCs w:val="20"/>
                <w14:textFill>
                  <w14:solidFill>
                    <w14:schemeClr w14:val="tx1"/>
                  </w14:solidFill>
                </w14:textFill>
              </w:rPr>
              <w:t>法人</w:t>
            </w:r>
            <w:r>
              <w:rPr>
                <w:rFonts w:hint="default" w:ascii="Times New Roman" w:hAnsi="Times New Roman" w:eastAsia="仿宋" w:cs="Times New Roman"/>
                <w:color w:val="000000" w:themeColor="text1"/>
                <w:kern w:val="0"/>
                <w:sz w:val="20"/>
                <w:szCs w:val="20"/>
                <w:lang w:eastAsia="zh-CN"/>
                <w14:textFill>
                  <w14:solidFill>
                    <w14:schemeClr w14:val="tx1"/>
                  </w14:solidFill>
                </w14:textFill>
              </w:rPr>
              <w:t>声明</w:t>
            </w:r>
          </w:p>
        </w:tc>
        <w:tc>
          <w:tcPr>
            <w:tcW w:w="8855" w:type="dxa"/>
            <w:gridSpan w:val="4"/>
            <w:noWrap w:val="0"/>
            <w:vAlign w:val="center"/>
          </w:tcPr>
          <w:p>
            <w:pPr>
              <w:rPr>
                <w:rFonts w:hint="default" w:ascii="Times New Roman" w:hAnsi="Times New Roman" w:eastAsia="仿宋" w:cs="Times New Roman"/>
              </w:rPr>
            </w:pPr>
            <w:r>
              <w:rPr>
                <w:rFonts w:hint="default" w:ascii="Times New Roman" w:hAnsi="Times New Roman" w:eastAsia="仿宋" w:cs="Times New Roman"/>
              </w:rPr>
              <w:t>本人作为申请单位法人代表，谨代表本单位作出以下声明：</w:t>
            </w:r>
          </w:p>
          <w:p>
            <w:pPr>
              <w:rPr>
                <w:rFonts w:hint="default" w:ascii="Times New Roman" w:hAnsi="Times New Roman" w:eastAsia="仿宋" w:cs="Times New Roman"/>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本人确认，本单位所提供的各项申请材料均真实无误。本单位承诺不存在失信被执行及涉黑涉恶问题。本人完全明白以欺诈手段取得专项资金支持的，均属违规行为，如发生违规情况，本人愿承担相应法律责任。                           </w:t>
            </w:r>
          </w:p>
          <w:p>
            <w:pPr>
              <w:jc w:val="center"/>
              <w:rPr>
                <w:rFonts w:hint="default" w:ascii="Times New Roman" w:hAnsi="Times New Roman" w:eastAsia="仿宋_GB2312" w:cs="Times New Roman"/>
                <w:color w:val="auto"/>
                <w:sz w:val="24"/>
                <w:szCs w:val="32"/>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 法人（授权）代表签字：     </w:t>
            </w:r>
            <w:r>
              <w:rPr>
                <w:rFonts w:hint="default" w:ascii="Times New Roman" w:hAnsi="Times New Roman" w:eastAsia="仿宋" w:cs="Times New Roman"/>
                <w:lang w:val="en-US" w:eastAsia="zh-CN"/>
              </w:rPr>
              <w:t xml:space="preserve">                        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929" w:type="dxa"/>
            <w:gridSpan w:val="5"/>
            <w:vAlign w:val="center"/>
          </w:tcPr>
          <w:p>
            <w:pPr>
              <w:rPr>
                <w:rFonts w:hint="default" w:ascii="Times New Roman" w:hAnsi="Times New Roman" w:eastAsia="仿宋" w:cs="Times New Roman"/>
              </w:rPr>
            </w:pPr>
            <w:r>
              <w:rPr>
                <w:rFonts w:hint="default" w:ascii="Times New Roman" w:hAnsi="Times New Roman" w:eastAsia="仿宋" w:cs="Times New Roman"/>
              </w:rPr>
              <w:t>县</w:t>
            </w:r>
            <w:r>
              <w:rPr>
                <w:rFonts w:hint="default" w:ascii="Times New Roman" w:hAnsi="Times New Roman" w:eastAsia="仿宋" w:cs="Times New Roman"/>
                <w:lang w:val="en-US" w:eastAsia="zh-CN"/>
              </w:rPr>
              <w:t>级</w:t>
            </w:r>
            <w:r>
              <w:rPr>
                <w:rFonts w:hint="default" w:ascii="Times New Roman" w:hAnsi="Times New Roman" w:eastAsia="仿宋" w:cs="Times New Roman"/>
              </w:rPr>
              <w:t>商务</w:t>
            </w:r>
            <w:r>
              <w:rPr>
                <w:rFonts w:hint="default" w:ascii="Times New Roman" w:hAnsi="Times New Roman" w:eastAsia="仿宋" w:cs="Times New Roman"/>
                <w:lang w:val="en-US" w:eastAsia="zh-CN"/>
              </w:rPr>
              <w:t>主管</w:t>
            </w:r>
            <w:r>
              <w:rPr>
                <w:rFonts w:hint="default" w:ascii="Times New Roman" w:hAnsi="Times New Roman" w:eastAsia="仿宋" w:cs="Times New Roman"/>
              </w:rPr>
              <w:t>部门意见（盖章）：</w:t>
            </w:r>
          </w:p>
          <w:p>
            <w:pPr>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left"/>
              <w:textAlignment w:val="auto"/>
              <w:rPr>
                <w:rFonts w:hint="default" w:ascii="Times New Roman" w:hAnsi="Times New Roman" w:eastAsia="仿宋" w:cs="Times New Roman"/>
                <w:color w:val="000000" w:themeColor="text1"/>
                <w:kern w:val="0"/>
                <w:sz w:val="20"/>
                <w:szCs w:val="20"/>
                <w:lang w:val="en-US" w:eastAsia="zh-CN"/>
                <w14:textFill>
                  <w14:solidFill>
                    <w14:schemeClr w14:val="tx1"/>
                  </w14:solidFill>
                </w14:textFill>
              </w:rPr>
            </w:pPr>
            <w:r>
              <w:rPr>
                <w:rFonts w:hint="default" w:ascii="Times New Roman" w:hAnsi="Times New Roman" w:eastAsia="仿宋" w:cs="Times New Roman"/>
              </w:rPr>
              <w:t xml:space="preserve">                   </w:t>
            </w:r>
            <w:r>
              <w:rPr>
                <w:rFonts w:hint="default" w:ascii="Times New Roman" w:hAnsi="Times New Roman" w:eastAsia="仿宋" w:cs="Times New Roman"/>
                <w:lang w:val="en-US" w:eastAsia="zh-CN"/>
              </w:rPr>
              <w:t xml:space="preserve">                                 盖  章            </w:t>
            </w:r>
            <w:r>
              <w:rPr>
                <w:rFonts w:hint="default" w:ascii="Times New Roman" w:hAnsi="Times New Roman" w:eastAsia="仿宋" w:cs="Times New Roman"/>
                <w:lang w:eastAsia="zh-CN"/>
              </w:rPr>
              <w:t>2024年</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月</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日</w:t>
            </w:r>
          </w:p>
        </w:tc>
      </w:tr>
    </w:tbl>
    <w:p>
      <w:pPr>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lang w:eastAsia="zh-CN"/>
        </w:rPr>
        <w:t>承诺书</w:t>
      </w:r>
    </w:p>
    <w:p>
      <w:pPr>
        <w:ind w:firstLine="640" w:firstLineChars="200"/>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我单位就参加2024泉州市</w:t>
      </w:r>
      <w:r>
        <w:rPr>
          <w:rFonts w:hint="default" w:ascii="Times New Roman" w:hAnsi="Times New Roman" w:eastAsia="仿宋_GB2312" w:cs="Times New Roman"/>
          <w:color w:val="000000"/>
          <w:sz w:val="30"/>
          <w:szCs w:val="30"/>
          <w:u w:val="none"/>
          <w:lang w:val="en-US" w:eastAsia="zh-CN"/>
        </w:rPr>
        <w:t>消费品以旧换新</w:t>
      </w:r>
      <w:r>
        <w:rPr>
          <w:rFonts w:hint="default" w:ascii="Times New Roman" w:hAnsi="Times New Roman" w:eastAsia="仿宋_GB2312" w:cs="Times New Roman"/>
          <w:color w:val="000000"/>
          <w:sz w:val="30"/>
          <w:szCs w:val="30"/>
          <w:lang w:val="en-US" w:eastAsia="zh-CN"/>
        </w:rPr>
        <w:t>活动郑重承诺履行以下责任，如有违反自愿放弃参与资格：</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一、提供的材料真实、准确，如因提供的材料虚假导致的一切后果，由企业自行承担。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二、严格遵守活动要求，对参与活动的家电回收或销售环节的真实性负责，如有违法违规行为，负责追回或赔付补贴资金并承担法律责任。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三、</w:t>
      </w:r>
      <w:r>
        <w:rPr>
          <w:rFonts w:hint="default" w:ascii="Times New Roman" w:hAnsi="Times New Roman" w:eastAsia="仿宋_GB2312" w:cs="Times New Roman"/>
          <w:color w:val="auto"/>
          <w:kern w:val="0"/>
          <w:sz w:val="30"/>
          <w:szCs w:val="30"/>
          <w:lang w:val="en-US" w:eastAsia="zh-CN" w:bidi="ar"/>
        </w:rPr>
        <w:t>做到诚信经营，不搞虚假、违规促销。在近两年银联消费券发放活动中</w:t>
      </w:r>
      <w:r>
        <w:rPr>
          <w:rFonts w:hint="default" w:ascii="Times New Roman" w:hAnsi="Times New Roman" w:eastAsia="仿宋_GB2312" w:cs="Times New Roman"/>
          <w:color w:val="auto"/>
          <w:kern w:val="0"/>
          <w:sz w:val="30"/>
          <w:szCs w:val="30"/>
          <w:lang w:bidi="ar"/>
        </w:rPr>
        <w:t>未发生重大资金安全风险和隐患</w:t>
      </w:r>
      <w:r>
        <w:rPr>
          <w:rFonts w:hint="default" w:ascii="Times New Roman" w:hAnsi="Times New Roman" w:eastAsia="仿宋_GB2312" w:cs="Times New Roman"/>
          <w:color w:val="auto"/>
          <w:kern w:val="0"/>
          <w:sz w:val="30"/>
          <w:szCs w:val="30"/>
          <w:lang w:eastAsia="zh-CN" w:bidi="ar"/>
        </w:rPr>
        <w:t>，未发生安全生产事故和严重失信行为</w:t>
      </w:r>
      <w:r>
        <w:rPr>
          <w:rFonts w:hint="default" w:ascii="Times New Roman" w:hAnsi="Times New Roman" w:eastAsia="仿宋_GB2312" w:cs="Times New Roman"/>
          <w:color w:val="auto"/>
          <w:kern w:val="0"/>
          <w:sz w:val="30"/>
          <w:szCs w:val="30"/>
          <w:lang w:val="en-US" w:eastAsia="zh-CN" w:bidi="ar"/>
        </w:rPr>
        <w:t>。不增设享受补贴政策任何附加条件，不骗取财政补贴。</w:t>
      </w:r>
      <w:r>
        <w:rPr>
          <w:rFonts w:hint="default" w:ascii="Times New Roman" w:hAnsi="Times New Roman" w:eastAsia="仿宋_GB2312" w:cs="Times New Roman"/>
          <w:color w:val="000000"/>
          <w:sz w:val="30"/>
          <w:szCs w:val="30"/>
          <w:lang w:val="en-US" w:eastAsia="zh-CN"/>
        </w:rPr>
        <w:t>承诺补贴活动期间商品价格不高于活动开始前一个月同一商品的平均价。</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0"/>
        <w:jc w:val="both"/>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四、能按照申报条件履行相关责任，积极配合各级商务主管部门、服务平台（福建银联）的相关工作。能配合完成活动开始前相关准备工作以及后续审计抽查。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color w:val="auto"/>
          <w:kern w:val="0"/>
          <w:sz w:val="30"/>
          <w:szCs w:val="30"/>
          <w:lang w:bidi="ar"/>
        </w:rPr>
      </w:pPr>
      <w:r>
        <w:rPr>
          <w:rFonts w:hint="default" w:ascii="Times New Roman" w:hAnsi="Times New Roman" w:eastAsia="仿宋_GB2312" w:cs="Times New Roman"/>
          <w:color w:val="auto"/>
          <w:kern w:val="0"/>
          <w:sz w:val="30"/>
          <w:szCs w:val="30"/>
          <w:lang w:eastAsia="zh-CN" w:bidi="ar"/>
        </w:rPr>
        <w:t>五</w:t>
      </w:r>
      <w:r>
        <w:rPr>
          <w:rFonts w:hint="default" w:ascii="Times New Roman" w:hAnsi="Times New Roman" w:eastAsia="仿宋_GB2312" w:cs="Times New Roman"/>
          <w:color w:val="auto"/>
          <w:kern w:val="0"/>
          <w:sz w:val="30"/>
          <w:szCs w:val="30"/>
          <w:lang w:bidi="ar"/>
        </w:rPr>
        <w:t>、自愿接受相关部门</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媒体</w:t>
      </w:r>
      <w:r>
        <w:rPr>
          <w:rFonts w:hint="default" w:ascii="Times New Roman" w:hAnsi="Times New Roman" w:eastAsia="仿宋_GB2312" w:cs="Times New Roman"/>
          <w:color w:val="auto"/>
          <w:kern w:val="0"/>
          <w:sz w:val="30"/>
          <w:szCs w:val="30"/>
          <w:lang w:eastAsia="zh-CN" w:bidi="ar"/>
        </w:rPr>
        <w:t>以及消费者</w:t>
      </w:r>
      <w:r>
        <w:rPr>
          <w:rFonts w:hint="default" w:ascii="Times New Roman" w:hAnsi="Times New Roman" w:eastAsia="仿宋_GB2312" w:cs="Times New Roman"/>
          <w:color w:val="auto"/>
          <w:kern w:val="0"/>
          <w:sz w:val="30"/>
          <w:szCs w:val="30"/>
          <w:lang w:bidi="ar"/>
        </w:rPr>
        <w:t>的监督</w:t>
      </w:r>
      <w:r>
        <w:rPr>
          <w:rFonts w:hint="default" w:ascii="Times New Roman" w:hAnsi="Times New Roman" w:eastAsia="仿宋_GB2312" w:cs="Times New Roman"/>
          <w:color w:val="auto"/>
          <w:kern w:val="0"/>
          <w:sz w:val="30"/>
          <w:szCs w:val="30"/>
          <w:lang w:eastAsia="zh-CN" w:bidi="ar"/>
        </w:rPr>
        <w:t>，</w:t>
      </w:r>
      <w:r>
        <w:rPr>
          <w:rFonts w:hint="default" w:ascii="Times New Roman" w:hAnsi="Times New Roman" w:eastAsia="仿宋_GB2312" w:cs="Times New Roman"/>
          <w:color w:val="auto"/>
          <w:kern w:val="0"/>
          <w:sz w:val="30"/>
          <w:szCs w:val="30"/>
          <w:lang w:bidi="ar"/>
        </w:rPr>
        <w:t>针对自查及主管部门审查发现的问题及时落实整改。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 xml:space="preserve">承诺单位（盖章）：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企业负责人（签字）：</w:t>
      </w:r>
      <w:bookmarkEnd w:id="1"/>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企业活动联系人：</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企业活动联系电话：</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2024年</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月</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日</w:t>
      </w:r>
    </w:p>
    <w:p>
      <w:pPr>
        <w:pStyle w:val="5"/>
        <w:rPr>
          <w:rFonts w:hint="default" w:ascii="Times New Roman" w:hAnsi="Times New Roman" w:cs="Times New Roman"/>
          <w:lang w:val="en-US" w:eastAsia="zh-CN"/>
        </w:rPr>
      </w:pPr>
    </w:p>
    <w:sectPr>
      <w:pgSz w:w="11906" w:h="16838"/>
      <w:pgMar w:top="1304"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8</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0G2suvgEAAFwDAAAOAAAA&#10;ZHJzL2Uyb0RvYy54bWytU0tu2zAQ3RfIHQjua8lG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0G2suvgEAAFwDAAAOAAAAAAAAAAEAIAAA&#10;ADgBAABkcnMvZTJvRG9jLnhtbFBLBQYAAAAABgAGAFkBAABoBQ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7B854"/>
    <w:multiLevelType w:val="singleLevel"/>
    <w:tmpl w:val="7107B8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lhY2EyMThlNmE1ZDBkNTY4N2YxZmY4NjgyZDEifQ=="/>
  </w:docVars>
  <w:rsids>
    <w:rsidRoot w:val="4971487C"/>
    <w:rsid w:val="08236B6B"/>
    <w:rsid w:val="0EE46C8C"/>
    <w:rsid w:val="1453079B"/>
    <w:rsid w:val="14941EB5"/>
    <w:rsid w:val="1E09193B"/>
    <w:rsid w:val="1F3C251B"/>
    <w:rsid w:val="2CBD0407"/>
    <w:rsid w:val="2D590722"/>
    <w:rsid w:val="2E4E36DF"/>
    <w:rsid w:val="2F8A538D"/>
    <w:rsid w:val="2FF80420"/>
    <w:rsid w:val="32E71DF3"/>
    <w:rsid w:val="39F43D48"/>
    <w:rsid w:val="3CE9764C"/>
    <w:rsid w:val="46952D8F"/>
    <w:rsid w:val="46D83FB0"/>
    <w:rsid w:val="4971487C"/>
    <w:rsid w:val="4E6A3A9C"/>
    <w:rsid w:val="4FF35585"/>
    <w:rsid w:val="56D162D0"/>
    <w:rsid w:val="58E97957"/>
    <w:rsid w:val="5F0C439F"/>
    <w:rsid w:val="5FDE617B"/>
    <w:rsid w:val="68246BFD"/>
    <w:rsid w:val="6AE95984"/>
    <w:rsid w:val="6CBB20D4"/>
    <w:rsid w:val="75B864B0"/>
    <w:rsid w:val="7AA2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styleId="7">
    <w:name w:val="Normal Indent"/>
    <w:basedOn w:val="1"/>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_Style 1"/>
    <w:basedOn w:val="1"/>
    <w:qFormat/>
    <w:uiPriority w:val="0"/>
    <w:pPr>
      <w:ind w:firstLine="200" w:firstLineChars="200"/>
    </w:pPr>
    <w:rPr>
      <w:rFonts w:ascii="宋体" w:hAnsi="宋体" w:eastAsia="仿宋_GB2312" w:cs="Times New Roman"/>
      <w:sz w:val="32"/>
      <w:szCs w:val="32"/>
    </w:rPr>
  </w:style>
  <w:style w:type="paragraph" w:customStyle="1" w:styleId="15">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3216</Words>
  <Characters>3474</Characters>
  <Lines>0</Lines>
  <Paragraphs>0</Paragraphs>
  <TotalTime>21</TotalTime>
  <ScaleCrop>false</ScaleCrop>
  <LinksUpToDate>false</LinksUpToDate>
  <CharactersWithSpaces>3987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2024-09-08T18:38:00Z</dcterms:created>
  <dc:creator>86159</dc:creator>
  <cp:lastModifiedBy>casic</cp:lastModifiedBy>
  <dcterms:modified xsi:type="dcterms:W3CDTF">2024-09-09T17:11:50Z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4670F60050914579B9BEA37C97A3C259_11</vt:lpwstr>
  </property>
</Properties>
</file>