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附件1</w:t>
      </w:r>
    </w:p>
    <w:p>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2021年度泉州市直国家机关普法责任清单</w:t>
      </w:r>
    </w:p>
    <w:p>
      <w:pPr>
        <w:spacing w:line="400" w:lineRule="exact"/>
        <w:rPr>
          <w:rFonts w:hint="eastAsia" w:ascii="仿宋_GB2312" w:hAnsi="仿宋" w:eastAsia="仿宋_GB2312"/>
          <w:sz w:val="32"/>
          <w:szCs w:val="32"/>
        </w:rPr>
      </w:pPr>
      <w:r>
        <w:rPr>
          <w:rFonts w:hint="eastAsia" w:ascii="仿宋_GB2312" w:hAnsi="仿宋" w:eastAsia="仿宋_GB2312"/>
          <w:sz w:val="32"/>
          <w:szCs w:val="32"/>
        </w:rPr>
        <w:t>填报单位（盖章）：</w:t>
      </w:r>
      <w:r>
        <w:rPr>
          <w:rFonts w:hint="eastAsia" w:ascii="仿宋" w:hAnsi="仿宋" w:eastAsia="仿宋"/>
          <w:sz w:val="32"/>
          <w:szCs w:val="32"/>
        </w:rPr>
        <w:t>泉州市商务局</w:t>
      </w:r>
      <w:r>
        <w:rPr>
          <w:rFonts w:hint="eastAsia" w:ascii="仿宋_GB2312" w:hAnsi="仿宋" w:eastAsia="仿宋_GB2312"/>
          <w:sz w:val="32"/>
          <w:szCs w:val="32"/>
        </w:rPr>
        <w:t xml:space="preserve">       主要负责人：丁峰    报送时间：2021年2月1日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915"/>
        <w:gridCol w:w="2340"/>
        <w:gridCol w:w="1635"/>
        <w:gridCol w:w="1440"/>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809" w:type="dxa"/>
            <w:tcBorders>
              <w:tl2br w:val="single" w:color="auto" w:sz="4" w:space="0"/>
            </w:tcBorders>
          </w:tcPr>
          <w:p>
            <w:pPr>
              <w:spacing w:line="400" w:lineRule="exact"/>
              <w:jc w:val="center"/>
              <w:rPr>
                <w:rFonts w:hint="eastAsia" w:ascii="仿宋" w:hAnsi="仿宋" w:eastAsia="仿宋"/>
                <w:b/>
                <w:sz w:val="28"/>
                <w:szCs w:val="28"/>
              </w:rPr>
            </w:pPr>
            <w:r>
              <w:rPr>
                <w:rFonts w:hint="eastAsia" w:ascii="仿宋" w:hAnsi="仿宋" w:eastAsia="仿宋"/>
                <w:b/>
                <w:sz w:val="28"/>
                <w:szCs w:val="28"/>
              </w:rPr>
              <w:t xml:space="preserve">    内容</w:t>
            </w:r>
          </w:p>
          <w:p>
            <w:pPr>
              <w:spacing w:line="400" w:lineRule="exact"/>
              <w:ind w:firstLine="280" w:firstLineChars="100"/>
              <w:rPr>
                <w:rFonts w:hint="eastAsia" w:ascii="仿宋" w:hAnsi="仿宋" w:eastAsia="仿宋"/>
                <w:b/>
                <w:sz w:val="28"/>
                <w:szCs w:val="28"/>
              </w:rPr>
            </w:pPr>
            <w:r>
              <w:rPr>
                <w:rFonts w:hint="eastAsia" w:ascii="仿宋" w:hAnsi="仿宋" w:eastAsia="仿宋"/>
                <w:b/>
                <w:sz w:val="28"/>
                <w:szCs w:val="28"/>
              </w:rPr>
              <w:t>单位</w:t>
            </w:r>
          </w:p>
        </w:tc>
        <w:tc>
          <w:tcPr>
            <w:tcW w:w="3915" w:type="dxa"/>
            <w:vAlign w:val="center"/>
          </w:tcPr>
          <w:p>
            <w:pPr>
              <w:spacing w:line="400" w:lineRule="exact"/>
              <w:jc w:val="center"/>
              <w:rPr>
                <w:rFonts w:hint="eastAsia" w:ascii="仿宋" w:hAnsi="仿宋" w:eastAsia="仿宋"/>
                <w:b/>
                <w:sz w:val="28"/>
                <w:szCs w:val="28"/>
              </w:rPr>
            </w:pPr>
            <w:r>
              <w:rPr>
                <w:rFonts w:hint="eastAsia" w:ascii="仿宋" w:hAnsi="仿宋" w:eastAsia="仿宋"/>
                <w:b/>
                <w:sz w:val="28"/>
                <w:szCs w:val="28"/>
              </w:rPr>
              <w:t>年度重点宣传</w:t>
            </w:r>
          </w:p>
          <w:p>
            <w:pPr>
              <w:spacing w:line="400" w:lineRule="exact"/>
              <w:jc w:val="center"/>
              <w:rPr>
                <w:rFonts w:hint="eastAsia" w:ascii="仿宋" w:hAnsi="仿宋" w:eastAsia="仿宋"/>
                <w:b/>
                <w:sz w:val="28"/>
                <w:szCs w:val="28"/>
              </w:rPr>
            </w:pPr>
            <w:r>
              <w:rPr>
                <w:rFonts w:hint="eastAsia" w:ascii="仿宋" w:hAnsi="仿宋" w:eastAsia="仿宋"/>
                <w:b/>
                <w:sz w:val="28"/>
                <w:szCs w:val="28"/>
              </w:rPr>
              <w:t>普及法律法规</w:t>
            </w:r>
          </w:p>
        </w:tc>
        <w:tc>
          <w:tcPr>
            <w:tcW w:w="2340" w:type="dxa"/>
            <w:vAlign w:val="center"/>
          </w:tcPr>
          <w:p>
            <w:pPr>
              <w:spacing w:line="400" w:lineRule="exact"/>
              <w:jc w:val="center"/>
              <w:rPr>
                <w:rFonts w:hint="eastAsia" w:ascii="仿宋" w:hAnsi="仿宋" w:eastAsia="仿宋"/>
                <w:b/>
                <w:sz w:val="28"/>
                <w:szCs w:val="28"/>
              </w:rPr>
            </w:pPr>
            <w:r>
              <w:rPr>
                <w:rFonts w:hint="eastAsia" w:ascii="仿宋" w:hAnsi="仿宋" w:eastAsia="仿宋"/>
                <w:b/>
                <w:sz w:val="28"/>
                <w:szCs w:val="28"/>
              </w:rPr>
              <w:t>重点普法对象</w:t>
            </w:r>
          </w:p>
        </w:tc>
        <w:tc>
          <w:tcPr>
            <w:tcW w:w="1635" w:type="dxa"/>
            <w:vAlign w:val="center"/>
          </w:tcPr>
          <w:p>
            <w:pPr>
              <w:spacing w:line="400" w:lineRule="exact"/>
              <w:jc w:val="center"/>
              <w:rPr>
                <w:rFonts w:hint="eastAsia" w:ascii="仿宋" w:hAnsi="仿宋" w:eastAsia="仿宋"/>
                <w:b/>
                <w:sz w:val="28"/>
                <w:szCs w:val="28"/>
              </w:rPr>
            </w:pPr>
            <w:r>
              <w:rPr>
                <w:rFonts w:hint="eastAsia" w:ascii="仿宋" w:hAnsi="仿宋" w:eastAsia="仿宋"/>
                <w:b/>
                <w:sz w:val="28"/>
                <w:szCs w:val="28"/>
              </w:rPr>
              <w:t>联系科室</w:t>
            </w:r>
          </w:p>
        </w:tc>
        <w:tc>
          <w:tcPr>
            <w:tcW w:w="1440" w:type="dxa"/>
            <w:vAlign w:val="center"/>
          </w:tcPr>
          <w:p>
            <w:pPr>
              <w:spacing w:line="400" w:lineRule="exact"/>
              <w:jc w:val="center"/>
              <w:rPr>
                <w:rFonts w:hint="eastAsia" w:ascii="仿宋" w:hAnsi="仿宋" w:eastAsia="仿宋"/>
                <w:b/>
                <w:sz w:val="28"/>
                <w:szCs w:val="28"/>
              </w:rPr>
            </w:pPr>
            <w:r>
              <w:rPr>
                <w:rFonts w:hint="eastAsia" w:ascii="仿宋" w:hAnsi="仿宋" w:eastAsia="仿宋"/>
                <w:b/>
                <w:sz w:val="28"/>
                <w:szCs w:val="28"/>
              </w:rPr>
              <w:t>联系人</w:t>
            </w:r>
          </w:p>
        </w:tc>
        <w:tc>
          <w:tcPr>
            <w:tcW w:w="1727" w:type="dxa"/>
            <w:vAlign w:val="center"/>
          </w:tcPr>
          <w:p>
            <w:pPr>
              <w:spacing w:line="400" w:lineRule="exact"/>
              <w:jc w:val="center"/>
              <w:rPr>
                <w:rFonts w:hint="eastAsia" w:ascii="仿宋" w:hAnsi="仿宋" w:eastAsia="仿宋"/>
                <w:b/>
                <w:sz w:val="28"/>
                <w:szCs w:val="28"/>
              </w:rPr>
            </w:pPr>
            <w:r>
              <w:rPr>
                <w:rFonts w:hint="eastAsia" w:ascii="仿宋" w:hAnsi="仿宋" w:eastAsia="仿宋"/>
                <w:b/>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5" w:hRule="atLeast"/>
        </w:trPr>
        <w:tc>
          <w:tcPr>
            <w:tcW w:w="1809" w:type="dxa"/>
            <w:vAlign w:val="center"/>
          </w:tcPr>
          <w:p>
            <w:pPr>
              <w:spacing w:line="400" w:lineRule="exact"/>
              <w:rPr>
                <w:rFonts w:eastAsia="仿宋"/>
                <w:sz w:val="24"/>
              </w:rPr>
            </w:pPr>
            <w:r>
              <w:rPr>
                <w:rFonts w:eastAsia="仿宋"/>
                <w:sz w:val="24"/>
              </w:rPr>
              <w:t>泉州市商务局</w:t>
            </w:r>
          </w:p>
        </w:tc>
        <w:tc>
          <w:tcPr>
            <w:tcW w:w="3915" w:type="dxa"/>
            <w:vAlign w:val="center"/>
          </w:tcPr>
          <w:p>
            <w:pPr>
              <w:spacing w:line="400" w:lineRule="exact"/>
              <w:rPr>
                <w:rFonts w:eastAsia="仿宋"/>
                <w:sz w:val="24"/>
              </w:rPr>
            </w:pPr>
            <w:bookmarkStart w:id="0" w:name="OLE_LINK1"/>
            <w:r>
              <w:rPr>
                <w:rFonts w:eastAsia="仿宋_GB2312"/>
                <w:sz w:val="24"/>
              </w:rPr>
              <w:t>学</w:t>
            </w:r>
            <w:r>
              <w:rPr>
                <w:rFonts w:hint="eastAsia" w:eastAsia="仿宋_GB2312"/>
                <w:sz w:val="24"/>
                <w:lang w:eastAsia="zh-CN"/>
              </w:rPr>
              <w:t>习《</w:t>
            </w:r>
            <w:r>
              <w:rPr>
                <w:rFonts w:eastAsia="仿宋_GB2312"/>
                <w:sz w:val="24"/>
              </w:rPr>
              <w:t>习近平谈治国理政</w:t>
            </w:r>
            <w:r>
              <w:rPr>
                <w:rFonts w:hint="eastAsia" w:eastAsia="仿宋_GB2312"/>
                <w:sz w:val="24"/>
                <w:lang w:eastAsia="zh-CN"/>
              </w:rPr>
              <w:t>》</w:t>
            </w:r>
            <w:r>
              <w:rPr>
                <w:rFonts w:eastAsia="仿宋_GB2312"/>
                <w:sz w:val="24"/>
              </w:rPr>
              <w:t>第三卷</w:t>
            </w:r>
            <w:r>
              <w:rPr>
                <w:rFonts w:hint="eastAsia" w:eastAsia="仿宋_GB2312"/>
                <w:sz w:val="24"/>
              </w:rPr>
              <w:t>，</w:t>
            </w:r>
            <w:r>
              <w:rPr>
                <w:rFonts w:eastAsia="仿宋_GB2312"/>
                <w:sz w:val="24"/>
              </w:rPr>
              <w:t>党的十九届五中全会精神，习近平法治思想</w:t>
            </w:r>
            <w:bookmarkEnd w:id="0"/>
            <w:r>
              <w:rPr>
                <w:rFonts w:eastAsia="仿宋_GB2312"/>
                <w:sz w:val="24"/>
              </w:rPr>
              <w:t>等</w:t>
            </w:r>
          </w:p>
        </w:tc>
        <w:tc>
          <w:tcPr>
            <w:tcW w:w="2340" w:type="dxa"/>
            <w:vAlign w:val="center"/>
          </w:tcPr>
          <w:p>
            <w:pPr>
              <w:spacing w:line="400" w:lineRule="exact"/>
              <w:rPr>
                <w:rFonts w:eastAsia="仿宋"/>
                <w:sz w:val="24"/>
              </w:rPr>
            </w:pPr>
            <w:r>
              <w:rPr>
                <w:rFonts w:eastAsia="仿宋_GB2312"/>
                <w:sz w:val="24"/>
              </w:rPr>
              <w:t>局机关全体人员</w:t>
            </w:r>
          </w:p>
        </w:tc>
        <w:tc>
          <w:tcPr>
            <w:tcW w:w="1635" w:type="dxa"/>
            <w:vAlign w:val="center"/>
          </w:tcPr>
          <w:p>
            <w:pPr>
              <w:spacing w:line="400" w:lineRule="exact"/>
              <w:rPr>
                <w:rFonts w:eastAsia="仿宋"/>
                <w:sz w:val="24"/>
              </w:rPr>
            </w:pPr>
            <w:r>
              <w:rPr>
                <w:rFonts w:eastAsia="仿宋"/>
                <w:sz w:val="24"/>
              </w:rPr>
              <w:t>政策法规科</w:t>
            </w:r>
          </w:p>
        </w:tc>
        <w:tc>
          <w:tcPr>
            <w:tcW w:w="1440" w:type="dxa"/>
            <w:vAlign w:val="center"/>
          </w:tcPr>
          <w:p>
            <w:pPr>
              <w:spacing w:line="400" w:lineRule="exact"/>
              <w:rPr>
                <w:rFonts w:eastAsia="仿宋"/>
                <w:sz w:val="24"/>
              </w:rPr>
            </w:pPr>
            <w:r>
              <w:rPr>
                <w:rFonts w:eastAsia="仿宋"/>
                <w:sz w:val="24"/>
              </w:rPr>
              <w:t>刘龙真（政策法规科科长）</w:t>
            </w:r>
          </w:p>
        </w:tc>
        <w:tc>
          <w:tcPr>
            <w:tcW w:w="1727" w:type="dxa"/>
            <w:vAlign w:val="center"/>
          </w:tcPr>
          <w:p>
            <w:pPr>
              <w:spacing w:line="400" w:lineRule="exact"/>
              <w:rPr>
                <w:rFonts w:eastAsia="仿宋"/>
                <w:sz w:val="24"/>
              </w:rPr>
            </w:pPr>
            <w:r>
              <w:rPr>
                <w:rFonts w:eastAsia="仿宋"/>
                <w:sz w:val="24"/>
              </w:rPr>
              <w:t>22394278</w:t>
            </w:r>
          </w:p>
          <w:p>
            <w:pPr>
              <w:spacing w:line="400" w:lineRule="exac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809" w:type="dxa"/>
            <w:vAlign w:val="center"/>
          </w:tcPr>
          <w:p>
            <w:pPr>
              <w:spacing w:line="400" w:lineRule="exact"/>
              <w:rPr>
                <w:rFonts w:eastAsia="仿宋"/>
                <w:sz w:val="24"/>
              </w:rPr>
            </w:pPr>
            <w:r>
              <w:rPr>
                <w:rFonts w:eastAsia="仿宋"/>
                <w:sz w:val="24"/>
              </w:rPr>
              <w:t>泉州市商务局</w:t>
            </w:r>
          </w:p>
        </w:tc>
        <w:tc>
          <w:tcPr>
            <w:tcW w:w="3915" w:type="dxa"/>
            <w:vAlign w:val="center"/>
          </w:tcPr>
          <w:p>
            <w:pPr>
              <w:spacing w:line="400" w:lineRule="exact"/>
              <w:rPr>
                <w:rFonts w:eastAsia="仿宋_GB2312"/>
                <w:sz w:val="24"/>
              </w:rPr>
            </w:pPr>
            <w:r>
              <w:rPr>
                <w:rFonts w:eastAsia="仿宋_GB2312"/>
                <w:sz w:val="24"/>
              </w:rPr>
              <w:t>《区域全面经济伙伴关系协定》（RCEP）</w:t>
            </w:r>
          </w:p>
        </w:tc>
        <w:tc>
          <w:tcPr>
            <w:tcW w:w="2340" w:type="dxa"/>
            <w:vAlign w:val="center"/>
          </w:tcPr>
          <w:p>
            <w:pPr>
              <w:spacing w:line="400" w:lineRule="exact"/>
              <w:rPr>
                <w:rFonts w:eastAsia="仿宋_GB2312"/>
                <w:sz w:val="24"/>
              </w:rPr>
            </w:pPr>
            <w:r>
              <w:rPr>
                <w:rFonts w:eastAsia="仿宋_GB2312"/>
                <w:sz w:val="24"/>
              </w:rPr>
              <w:t>各县市区商务主管部门、行业商协会、外经贸重点企业</w:t>
            </w:r>
          </w:p>
        </w:tc>
        <w:tc>
          <w:tcPr>
            <w:tcW w:w="1635" w:type="dxa"/>
            <w:vAlign w:val="center"/>
          </w:tcPr>
          <w:p>
            <w:pPr>
              <w:spacing w:line="400" w:lineRule="exact"/>
              <w:rPr>
                <w:rFonts w:eastAsia="仿宋_GB2312"/>
                <w:sz w:val="24"/>
              </w:rPr>
            </w:pPr>
            <w:r>
              <w:rPr>
                <w:rFonts w:eastAsia="仿宋_GB2312"/>
                <w:sz w:val="24"/>
              </w:rPr>
              <w:t>政策法规科</w:t>
            </w:r>
          </w:p>
        </w:tc>
        <w:tc>
          <w:tcPr>
            <w:tcW w:w="1440" w:type="dxa"/>
            <w:vAlign w:val="center"/>
          </w:tcPr>
          <w:p>
            <w:pPr>
              <w:spacing w:line="400" w:lineRule="exact"/>
              <w:rPr>
                <w:rFonts w:eastAsia="仿宋"/>
                <w:sz w:val="24"/>
              </w:rPr>
            </w:pPr>
            <w:r>
              <w:rPr>
                <w:rFonts w:eastAsia="仿宋"/>
                <w:sz w:val="24"/>
              </w:rPr>
              <w:t>刘龙真（政策法规科科长）</w:t>
            </w:r>
          </w:p>
        </w:tc>
        <w:tc>
          <w:tcPr>
            <w:tcW w:w="1727" w:type="dxa"/>
            <w:vAlign w:val="center"/>
          </w:tcPr>
          <w:p>
            <w:pPr>
              <w:spacing w:line="400" w:lineRule="exact"/>
              <w:rPr>
                <w:rFonts w:eastAsia="仿宋"/>
                <w:sz w:val="24"/>
              </w:rPr>
            </w:pPr>
            <w:r>
              <w:rPr>
                <w:rFonts w:eastAsia="仿宋"/>
                <w:sz w:val="24"/>
              </w:rPr>
              <w:t>22394278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809" w:type="dxa"/>
            <w:vAlign w:val="center"/>
          </w:tcPr>
          <w:p>
            <w:pPr>
              <w:spacing w:line="400" w:lineRule="exact"/>
              <w:rPr>
                <w:rFonts w:eastAsia="仿宋"/>
                <w:sz w:val="24"/>
              </w:rPr>
            </w:pPr>
            <w:r>
              <w:rPr>
                <w:rFonts w:eastAsia="仿宋"/>
                <w:sz w:val="24"/>
              </w:rPr>
              <w:t>泉州市商务局</w:t>
            </w:r>
          </w:p>
        </w:tc>
        <w:tc>
          <w:tcPr>
            <w:tcW w:w="3915" w:type="dxa"/>
            <w:vAlign w:val="center"/>
          </w:tcPr>
          <w:p>
            <w:pPr>
              <w:pStyle w:val="2"/>
              <w:widowControl/>
              <w:spacing w:before="0" w:beforeAutospacing="0" w:after="0" w:afterAutospacing="0"/>
              <w:jc w:val="both"/>
              <w:rPr>
                <w:rFonts w:hint="default" w:ascii="Times New Roman" w:hAnsi="Times New Roman" w:eastAsia="仿宋_GB2312"/>
                <w:b w:val="0"/>
                <w:kern w:val="2"/>
                <w:sz w:val="24"/>
                <w:szCs w:val="24"/>
              </w:rPr>
            </w:pPr>
            <w:r>
              <w:rPr>
                <w:rFonts w:hint="default" w:ascii="Times New Roman" w:hAnsi="Times New Roman" w:eastAsia="仿宋_GB2312"/>
                <w:b w:val="0"/>
                <w:kern w:val="2"/>
                <w:sz w:val="24"/>
                <w:szCs w:val="24"/>
              </w:rPr>
              <w:t>《中华人民共和国出口管制法》、美国《出口管制条例》、《两用物项和技术进出口许可证管理目录》、《出口许可证管理货物目录（2021年）》、《进口许可证管理货物目录（2021年）》、《自动进口许可管理货物目录（2021年）》、《禁止进口货物目录（第七批）》、《禁止出口货物目录（第六批）》</w:t>
            </w:r>
          </w:p>
          <w:p>
            <w:pPr>
              <w:spacing w:line="400" w:lineRule="exact"/>
              <w:rPr>
                <w:rFonts w:eastAsia="仿宋_GB2312"/>
                <w:sz w:val="24"/>
              </w:rPr>
            </w:pPr>
          </w:p>
        </w:tc>
        <w:tc>
          <w:tcPr>
            <w:tcW w:w="2340" w:type="dxa"/>
            <w:vAlign w:val="center"/>
          </w:tcPr>
          <w:p>
            <w:pPr>
              <w:spacing w:line="400" w:lineRule="exact"/>
              <w:rPr>
                <w:rFonts w:eastAsia="仿宋_GB2312"/>
                <w:sz w:val="24"/>
              </w:rPr>
            </w:pPr>
            <w:r>
              <w:rPr>
                <w:rFonts w:eastAsia="仿宋_GB2312"/>
                <w:sz w:val="24"/>
              </w:rPr>
              <w:t>各县市区商务主管部门、外经贸企业</w:t>
            </w:r>
          </w:p>
        </w:tc>
        <w:tc>
          <w:tcPr>
            <w:tcW w:w="1635" w:type="dxa"/>
            <w:vAlign w:val="center"/>
          </w:tcPr>
          <w:p>
            <w:pPr>
              <w:spacing w:line="400" w:lineRule="exact"/>
              <w:rPr>
                <w:rFonts w:eastAsia="仿宋"/>
                <w:sz w:val="24"/>
              </w:rPr>
            </w:pPr>
            <w:r>
              <w:rPr>
                <w:rFonts w:eastAsia="仿宋_GB2312"/>
                <w:sz w:val="24"/>
              </w:rPr>
              <w:t>政策法规科</w:t>
            </w:r>
            <w:r>
              <w:rPr>
                <w:rFonts w:eastAsia="仿宋"/>
                <w:sz w:val="24"/>
              </w:rPr>
              <w:t>外贸科</w:t>
            </w:r>
          </w:p>
        </w:tc>
        <w:tc>
          <w:tcPr>
            <w:tcW w:w="1440" w:type="dxa"/>
            <w:vAlign w:val="center"/>
          </w:tcPr>
          <w:p>
            <w:pPr>
              <w:spacing w:line="400" w:lineRule="exact"/>
              <w:rPr>
                <w:rFonts w:eastAsia="仿宋"/>
                <w:sz w:val="24"/>
              </w:rPr>
            </w:pPr>
            <w:r>
              <w:rPr>
                <w:rFonts w:eastAsia="仿宋"/>
                <w:sz w:val="24"/>
              </w:rPr>
              <w:t>刘龙真（政策法规科科长）</w:t>
            </w:r>
          </w:p>
          <w:p>
            <w:pPr>
              <w:spacing w:line="400" w:lineRule="exact"/>
              <w:rPr>
                <w:rFonts w:eastAsia="仿宋"/>
                <w:sz w:val="24"/>
              </w:rPr>
            </w:pPr>
            <w:r>
              <w:rPr>
                <w:rFonts w:eastAsia="仿宋"/>
                <w:sz w:val="24"/>
              </w:rPr>
              <w:t>张国燕（外贸科科长）</w:t>
            </w:r>
          </w:p>
        </w:tc>
        <w:tc>
          <w:tcPr>
            <w:tcW w:w="1727" w:type="dxa"/>
            <w:vAlign w:val="center"/>
          </w:tcPr>
          <w:p>
            <w:pPr>
              <w:spacing w:line="400" w:lineRule="exact"/>
              <w:rPr>
                <w:rFonts w:eastAsia="仿宋"/>
                <w:sz w:val="24"/>
              </w:rPr>
            </w:pPr>
            <w:r>
              <w:rPr>
                <w:rFonts w:eastAsia="仿宋"/>
                <w:sz w:val="24"/>
              </w:rPr>
              <w:t>22394278</w:t>
            </w:r>
          </w:p>
          <w:p>
            <w:pPr>
              <w:spacing w:line="400" w:lineRule="exact"/>
              <w:rPr>
                <w:rFonts w:eastAsia="仿宋"/>
                <w:sz w:val="24"/>
              </w:rPr>
            </w:pPr>
            <w:r>
              <w:rPr>
                <w:rFonts w:eastAsia="仿宋"/>
                <w:sz w:val="24"/>
              </w:rPr>
              <w:t>22386721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809" w:type="dxa"/>
            <w:vAlign w:val="center"/>
          </w:tcPr>
          <w:p>
            <w:pPr>
              <w:spacing w:line="400" w:lineRule="exact"/>
              <w:rPr>
                <w:rFonts w:eastAsia="仿宋"/>
                <w:sz w:val="24"/>
              </w:rPr>
            </w:pPr>
            <w:r>
              <w:rPr>
                <w:rFonts w:eastAsia="仿宋"/>
                <w:sz w:val="24"/>
              </w:rPr>
              <w:t>泉州市商务局</w:t>
            </w:r>
          </w:p>
        </w:tc>
        <w:tc>
          <w:tcPr>
            <w:tcW w:w="3915" w:type="dxa"/>
            <w:vAlign w:val="center"/>
          </w:tcPr>
          <w:p>
            <w:pPr>
              <w:spacing w:line="400" w:lineRule="exact"/>
              <w:rPr>
                <w:rFonts w:eastAsia="仿宋_GB2312"/>
                <w:sz w:val="24"/>
              </w:rPr>
            </w:pPr>
            <w:r>
              <w:rPr>
                <w:rFonts w:hint="eastAsia" w:eastAsia="仿宋_GB2312"/>
                <w:sz w:val="24"/>
              </w:rPr>
              <w:t>《中欧投资协定》、</w:t>
            </w:r>
            <w:r>
              <w:rPr>
                <w:rFonts w:eastAsia="仿宋_GB2312"/>
                <w:sz w:val="24"/>
              </w:rPr>
              <w:t>《鼓励外商投资产业目录》（2020年版）、《</w:t>
            </w:r>
            <w:r>
              <w:rPr>
                <w:rFonts w:hint="eastAsia" w:eastAsia="仿宋_GB2312"/>
                <w:sz w:val="24"/>
              </w:rPr>
              <w:t>外商投资</w:t>
            </w:r>
            <w:r>
              <w:rPr>
                <w:rFonts w:eastAsia="仿宋_GB2312"/>
                <w:sz w:val="24"/>
              </w:rPr>
              <w:t>准入</w:t>
            </w:r>
            <w:r>
              <w:rPr>
                <w:rFonts w:hint="eastAsia" w:eastAsia="仿宋_GB2312"/>
                <w:sz w:val="24"/>
              </w:rPr>
              <w:t>特别管理措施（</w:t>
            </w:r>
            <w:r>
              <w:rPr>
                <w:rFonts w:eastAsia="仿宋_GB2312"/>
                <w:sz w:val="24"/>
              </w:rPr>
              <w:t>负面清单</w:t>
            </w:r>
            <w:r>
              <w:rPr>
                <w:rFonts w:hint="eastAsia" w:eastAsia="仿宋_GB2312"/>
                <w:sz w:val="24"/>
              </w:rPr>
              <w:t>）</w:t>
            </w:r>
            <w:r>
              <w:rPr>
                <w:rFonts w:eastAsia="仿宋_GB2312"/>
                <w:sz w:val="24"/>
              </w:rPr>
              <w:t>》（2020年版）</w:t>
            </w:r>
          </w:p>
        </w:tc>
        <w:tc>
          <w:tcPr>
            <w:tcW w:w="2340" w:type="dxa"/>
            <w:vAlign w:val="center"/>
          </w:tcPr>
          <w:p>
            <w:pPr>
              <w:spacing w:line="400" w:lineRule="exact"/>
              <w:rPr>
                <w:rFonts w:eastAsia="仿宋_GB2312"/>
                <w:sz w:val="24"/>
              </w:rPr>
            </w:pPr>
            <w:r>
              <w:rPr>
                <w:rFonts w:eastAsia="仿宋_GB2312"/>
                <w:sz w:val="24"/>
              </w:rPr>
              <w:t>各县市区商务主管部门、</w:t>
            </w:r>
            <w:r>
              <w:rPr>
                <w:rFonts w:hint="eastAsia" w:eastAsia="仿宋_GB2312"/>
                <w:sz w:val="24"/>
              </w:rPr>
              <w:t>重点外商投资</w:t>
            </w:r>
            <w:r>
              <w:rPr>
                <w:rFonts w:eastAsia="仿宋_GB2312"/>
                <w:sz w:val="24"/>
              </w:rPr>
              <w:t>企业</w:t>
            </w:r>
          </w:p>
        </w:tc>
        <w:tc>
          <w:tcPr>
            <w:tcW w:w="1635" w:type="dxa"/>
            <w:vAlign w:val="center"/>
          </w:tcPr>
          <w:p>
            <w:pPr>
              <w:spacing w:line="400" w:lineRule="exact"/>
              <w:rPr>
                <w:rFonts w:eastAsia="仿宋"/>
                <w:sz w:val="24"/>
              </w:rPr>
            </w:pPr>
            <w:r>
              <w:rPr>
                <w:rFonts w:eastAsia="仿宋"/>
                <w:sz w:val="24"/>
              </w:rPr>
              <w:t>外资科</w:t>
            </w:r>
          </w:p>
        </w:tc>
        <w:tc>
          <w:tcPr>
            <w:tcW w:w="1440" w:type="dxa"/>
            <w:vAlign w:val="center"/>
          </w:tcPr>
          <w:p>
            <w:pPr>
              <w:spacing w:line="400" w:lineRule="exact"/>
              <w:rPr>
                <w:rFonts w:eastAsia="仿宋"/>
                <w:sz w:val="24"/>
              </w:rPr>
            </w:pPr>
            <w:r>
              <w:rPr>
                <w:rFonts w:eastAsia="仿宋"/>
                <w:sz w:val="24"/>
              </w:rPr>
              <w:t>陈金针（外资科科长）</w:t>
            </w:r>
          </w:p>
        </w:tc>
        <w:tc>
          <w:tcPr>
            <w:tcW w:w="1727" w:type="dxa"/>
            <w:vAlign w:val="center"/>
          </w:tcPr>
          <w:p>
            <w:pPr>
              <w:spacing w:line="400" w:lineRule="exact"/>
              <w:rPr>
                <w:rFonts w:eastAsia="仿宋"/>
                <w:sz w:val="24"/>
              </w:rPr>
            </w:pPr>
            <w:r>
              <w:rPr>
                <w:sz w:val="24"/>
                <w:shd w:val="clear" w:color="auto" w:fill="FFFFFF"/>
              </w:rPr>
              <w:t>22395182</w:t>
            </w:r>
          </w:p>
        </w:tc>
      </w:tr>
    </w:tbl>
    <w:p>
      <w:pPr>
        <w:spacing w:line="400" w:lineRule="exact"/>
        <w:rPr>
          <w:rFonts w:hint="eastAsia" w:ascii="仿宋" w:hAnsi="仿宋" w:eastAsia="仿宋"/>
          <w:sz w:val="32"/>
          <w:szCs w:val="32"/>
        </w:rPr>
      </w:pPr>
      <w:r>
        <w:rPr>
          <w:rFonts w:hint="eastAsia" w:ascii="仿宋" w:hAnsi="仿宋" w:eastAsia="仿宋"/>
          <w:sz w:val="32"/>
          <w:szCs w:val="32"/>
        </w:rPr>
        <w:t>备注：联系科室只需填写一个主要科室即可。</w:t>
      </w:r>
    </w:p>
    <w:p>
      <w:pPr>
        <w:spacing w:line="400" w:lineRule="exact"/>
        <w:rPr>
          <w:rFonts w:hint="eastAsia" w:ascii="黑体" w:hAnsi="黑体" w:eastAsia="黑体"/>
          <w:sz w:val="32"/>
          <w:szCs w:val="32"/>
        </w:rPr>
      </w:pPr>
    </w:p>
    <w:p>
      <w:pPr>
        <w:spacing w:line="400" w:lineRule="exact"/>
        <w:rPr>
          <w:rFonts w:hint="eastAsia" w:ascii="黑体" w:hAnsi="黑体" w:eastAsia="黑体"/>
          <w:sz w:val="32"/>
          <w:szCs w:val="32"/>
        </w:rPr>
      </w:pPr>
    </w:p>
    <w:p>
      <w:pPr>
        <w:spacing w:line="400" w:lineRule="exact"/>
        <w:rPr>
          <w:rFonts w:hint="eastAsia" w:ascii="黑体" w:hAnsi="黑体" w:eastAsia="黑体"/>
          <w:sz w:val="32"/>
          <w:szCs w:val="32"/>
        </w:rPr>
      </w:pPr>
    </w:p>
    <w:p>
      <w:pPr>
        <w:spacing w:line="400" w:lineRule="exact"/>
        <w:rPr>
          <w:rFonts w:hint="eastAsia" w:ascii="黑体" w:hAnsi="黑体" w:eastAsia="黑体"/>
          <w:sz w:val="32"/>
          <w:szCs w:val="32"/>
        </w:rPr>
      </w:pPr>
    </w:p>
    <w:p>
      <w:pPr>
        <w:spacing w:line="400" w:lineRule="exact"/>
        <w:rPr>
          <w:rFonts w:hint="eastAsia" w:ascii="黑体" w:hAnsi="黑体" w:eastAsia="黑体"/>
          <w:sz w:val="32"/>
          <w:szCs w:val="32"/>
        </w:rPr>
      </w:pPr>
    </w:p>
    <w:p>
      <w:pPr>
        <w:spacing w:line="400" w:lineRule="exact"/>
        <w:rPr>
          <w:rFonts w:hint="eastAsia" w:ascii="黑体" w:hAnsi="黑体" w:eastAsia="黑体"/>
          <w:sz w:val="32"/>
          <w:szCs w:val="32"/>
        </w:rPr>
      </w:pPr>
    </w:p>
    <w:p>
      <w:pPr>
        <w:spacing w:line="400" w:lineRule="exact"/>
        <w:rPr>
          <w:rFonts w:hint="eastAsia" w:ascii="黑体" w:hAnsi="黑体" w:eastAsia="黑体"/>
          <w:sz w:val="32"/>
          <w:szCs w:val="32"/>
        </w:rPr>
      </w:pPr>
    </w:p>
    <w:p>
      <w:pPr>
        <w:spacing w:line="500" w:lineRule="exact"/>
        <w:rPr>
          <w:rFonts w:hint="eastAsia" w:ascii="黑体" w:hAnsi="黑体" w:eastAsia="黑体"/>
          <w:sz w:val="32"/>
          <w:szCs w:val="32"/>
        </w:rPr>
      </w:pPr>
    </w:p>
    <w:p>
      <w:pPr>
        <w:spacing w:line="500" w:lineRule="exact"/>
        <w:rPr>
          <w:rFonts w:hint="eastAsia" w:ascii="黑体" w:hAnsi="黑体" w:eastAsia="黑体"/>
          <w:sz w:val="32"/>
          <w:szCs w:val="32"/>
        </w:rPr>
      </w:pPr>
    </w:p>
    <w:p>
      <w:pPr>
        <w:spacing w:line="500" w:lineRule="exact"/>
        <w:rPr>
          <w:rFonts w:hint="eastAsia" w:ascii="黑体" w:hAnsi="黑体" w:eastAsia="黑体"/>
          <w:sz w:val="32"/>
          <w:szCs w:val="32"/>
        </w:rPr>
      </w:pPr>
    </w:p>
    <w:p>
      <w:pPr>
        <w:spacing w:line="500" w:lineRule="exact"/>
        <w:rPr>
          <w:rFonts w:hint="eastAsia" w:ascii="黑体" w:hAnsi="黑体" w:eastAsia="黑体"/>
          <w:sz w:val="32"/>
          <w:szCs w:val="32"/>
        </w:rPr>
      </w:pPr>
    </w:p>
    <w:p>
      <w:pPr>
        <w:spacing w:line="500" w:lineRule="exact"/>
        <w:rPr>
          <w:rFonts w:hint="eastAsia" w:ascii="黑体" w:hAnsi="黑体" w:eastAsia="黑体"/>
          <w:sz w:val="32"/>
          <w:szCs w:val="32"/>
        </w:rPr>
      </w:pPr>
    </w:p>
    <w:p>
      <w:pPr>
        <w:spacing w:line="400" w:lineRule="exact"/>
        <w:rPr>
          <w:rFonts w:hint="eastAsia" w:ascii="黑体" w:hAnsi="黑体" w:eastAsia="黑体"/>
          <w:sz w:val="32"/>
          <w:szCs w:val="32"/>
        </w:rPr>
      </w:pPr>
    </w:p>
    <w:p>
      <w:pPr>
        <w:spacing w:line="400" w:lineRule="exact"/>
        <w:rPr>
          <w:rFonts w:hint="eastAsia" w:ascii="黑体" w:hAnsi="黑体" w:eastAsia="黑体"/>
          <w:sz w:val="32"/>
          <w:szCs w:val="32"/>
        </w:rPr>
      </w:pPr>
    </w:p>
    <w:p>
      <w:pPr>
        <w:spacing w:line="400" w:lineRule="exact"/>
        <w:rPr>
          <w:rFonts w:hint="eastAsia" w:ascii="黑体" w:hAnsi="黑体" w:eastAsia="黑体"/>
          <w:sz w:val="32"/>
          <w:szCs w:val="32"/>
        </w:rPr>
      </w:pPr>
    </w:p>
    <w:p>
      <w:pPr>
        <w:spacing w:line="400" w:lineRule="exact"/>
        <w:rPr>
          <w:rFonts w:hint="eastAsia" w:ascii="黑体" w:hAnsi="黑体" w:eastAsia="黑体"/>
          <w:sz w:val="32"/>
          <w:szCs w:val="32"/>
        </w:rPr>
      </w:pPr>
    </w:p>
    <w:p>
      <w:pPr>
        <w:spacing w:line="400" w:lineRule="exact"/>
        <w:rPr>
          <w:rFonts w:hint="eastAsia" w:ascii="黑体" w:hAnsi="黑体" w:eastAsia="黑体"/>
          <w:sz w:val="32"/>
          <w:szCs w:val="32"/>
        </w:rPr>
      </w:pPr>
    </w:p>
    <w:p>
      <w:pPr>
        <w:spacing w:line="400" w:lineRule="exact"/>
        <w:rPr>
          <w:rFonts w:hint="eastAsia" w:ascii="黑体" w:hAnsi="黑体" w:eastAsia="黑体"/>
          <w:sz w:val="32"/>
          <w:szCs w:val="32"/>
        </w:rPr>
      </w:pPr>
      <w:r>
        <w:rPr>
          <w:rFonts w:hint="eastAsia" w:ascii="黑体" w:hAnsi="黑体" w:eastAsia="黑体"/>
          <w:sz w:val="32"/>
          <w:szCs w:val="32"/>
        </w:rPr>
        <w:t>附件2</w:t>
      </w:r>
    </w:p>
    <w:p>
      <w:pPr>
        <w:spacing w:beforeLines="50" w:afterLines="50" w:line="400" w:lineRule="exact"/>
        <w:ind w:firstLine="360" w:firstLineChars="100"/>
        <w:jc w:val="center"/>
        <w:rPr>
          <w:rFonts w:hint="eastAsia" w:ascii="仿宋" w:hAnsi="仿宋" w:eastAsia="仿宋"/>
          <w:sz w:val="36"/>
          <w:szCs w:val="36"/>
        </w:rPr>
      </w:pPr>
      <w:r>
        <w:rPr>
          <w:rFonts w:hint="eastAsia" w:ascii="方正小标宋简体" w:hAnsi="仿宋" w:eastAsia="方正小标宋简体"/>
          <w:sz w:val="36"/>
          <w:szCs w:val="36"/>
        </w:rPr>
        <w:t>2021年度泉州市直国家机关普法计划</w:t>
      </w:r>
    </w:p>
    <w:p>
      <w:pPr>
        <w:spacing w:line="340" w:lineRule="exact"/>
        <w:rPr>
          <w:rFonts w:hint="eastAsia" w:ascii="仿宋_GB2312" w:hAnsi="仿宋" w:eastAsia="仿宋_GB2312"/>
          <w:sz w:val="28"/>
          <w:szCs w:val="28"/>
        </w:rPr>
      </w:pPr>
      <w:r>
        <w:rPr>
          <w:rFonts w:hint="eastAsia" w:ascii="仿宋_GB2312" w:hAnsi="仿宋" w:eastAsia="仿宋_GB2312"/>
          <w:sz w:val="28"/>
          <w:szCs w:val="28"/>
        </w:rPr>
        <w:t>填报单位（盖章）：泉州市商务局          主要负责人：丁峰   报送时间：2021年2月1日</w:t>
      </w:r>
    </w:p>
    <w:tbl>
      <w:tblPr>
        <w:tblStyle w:val="7"/>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599"/>
        <w:gridCol w:w="1680"/>
        <w:gridCol w:w="3555"/>
        <w:gridCol w:w="1545"/>
        <w:gridCol w:w="1470"/>
        <w:gridCol w:w="1260"/>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100" w:type="dxa"/>
            <w:vMerge w:val="restart"/>
            <w:tcBorders>
              <w:tl2br w:val="single" w:color="auto" w:sz="4" w:space="0"/>
            </w:tcBorders>
          </w:tcPr>
          <w:p>
            <w:pPr>
              <w:spacing w:line="340" w:lineRule="exact"/>
              <w:ind w:firstLine="235" w:firstLineChars="98"/>
              <w:rPr>
                <w:rFonts w:hint="eastAsia" w:ascii="仿宋" w:hAnsi="仿宋" w:eastAsia="仿宋"/>
                <w:b/>
                <w:sz w:val="24"/>
              </w:rPr>
            </w:pPr>
            <w:r>
              <w:rPr>
                <w:rFonts w:hint="eastAsia" w:ascii="仿宋" w:hAnsi="仿宋" w:eastAsia="仿宋"/>
                <w:b/>
                <w:sz w:val="24"/>
              </w:rPr>
              <w:t>任务</w:t>
            </w:r>
          </w:p>
          <w:p>
            <w:pPr>
              <w:spacing w:line="340" w:lineRule="exact"/>
              <w:rPr>
                <w:rFonts w:hint="eastAsia" w:ascii="仿宋" w:hAnsi="仿宋" w:eastAsia="仿宋"/>
                <w:b/>
                <w:sz w:val="24"/>
              </w:rPr>
            </w:pPr>
          </w:p>
          <w:p>
            <w:pPr>
              <w:spacing w:line="340" w:lineRule="exact"/>
              <w:rPr>
                <w:rFonts w:hint="eastAsia" w:ascii="仿宋" w:hAnsi="仿宋" w:eastAsia="仿宋"/>
                <w:b/>
                <w:sz w:val="24"/>
              </w:rPr>
            </w:pPr>
            <w:r>
              <w:rPr>
                <w:rFonts w:hint="eastAsia" w:ascii="仿宋" w:hAnsi="仿宋" w:eastAsia="仿宋"/>
                <w:b/>
                <w:sz w:val="24"/>
              </w:rPr>
              <w:t>单位</w:t>
            </w:r>
          </w:p>
        </w:tc>
        <w:tc>
          <w:tcPr>
            <w:tcW w:w="4279" w:type="dxa"/>
            <w:gridSpan w:val="2"/>
            <w:vAlign w:val="center"/>
          </w:tcPr>
          <w:p>
            <w:pPr>
              <w:spacing w:line="340" w:lineRule="exact"/>
              <w:jc w:val="center"/>
              <w:rPr>
                <w:rFonts w:hint="eastAsia" w:ascii="仿宋" w:hAnsi="仿宋" w:eastAsia="仿宋"/>
                <w:b/>
                <w:sz w:val="24"/>
              </w:rPr>
            </w:pPr>
            <w:r>
              <w:rPr>
                <w:rFonts w:hint="eastAsia" w:ascii="仿宋" w:hAnsi="仿宋" w:eastAsia="仿宋"/>
                <w:b/>
                <w:sz w:val="24"/>
              </w:rPr>
              <w:t>机关内部学法活动</w:t>
            </w:r>
          </w:p>
        </w:tc>
        <w:tc>
          <w:tcPr>
            <w:tcW w:w="3555" w:type="dxa"/>
            <w:vMerge w:val="restart"/>
            <w:vAlign w:val="center"/>
          </w:tcPr>
          <w:p>
            <w:pPr>
              <w:spacing w:line="340" w:lineRule="exact"/>
              <w:jc w:val="center"/>
              <w:rPr>
                <w:rFonts w:hint="eastAsia" w:ascii="仿宋" w:hAnsi="仿宋" w:eastAsia="仿宋"/>
                <w:b/>
                <w:sz w:val="24"/>
              </w:rPr>
            </w:pPr>
            <w:r>
              <w:rPr>
                <w:rFonts w:hint="eastAsia" w:ascii="仿宋" w:hAnsi="仿宋" w:eastAsia="仿宋"/>
                <w:b/>
                <w:sz w:val="24"/>
              </w:rPr>
              <w:t>面向执法（服务、管理）对象及社会公众开展的普法活动</w:t>
            </w:r>
          </w:p>
        </w:tc>
        <w:tc>
          <w:tcPr>
            <w:tcW w:w="1545" w:type="dxa"/>
            <w:vMerge w:val="restart"/>
            <w:vAlign w:val="center"/>
          </w:tcPr>
          <w:p>
            <w:pPr>
              <w:spacing w:line="340" w:lineRule="exact"/>
              <w:jc w:val="center"/>
              <w:rPr>
                <w:rFonts w:hint="eastAsia" w:ascii="仿宋" w:hAnsi="仿宋" w:eastAsia="仿宋"/>
                <w:b/>
                <w:sz w:val="24"/>
              </w:rPr>
            </w:pPr>
            <w:r>
              <w:rPr>
                <w:rFonts w:hint="eastAsia" w:ascii="仿宋" w:hAnsi="仿宋" w:eastAsia="仿宋"/>
                <w:b/>
                <w:sz w:val="24"/>
              </w:rPr>
              <w:t>与其他部门联合开展的普法活动</w:t>
            </w:r>
          </w:p>
        </w:tc>
        <w:tc>
          <w:tcPr>
            <w:tcW w:w="1470" w:type="dxa"/>
            <w:vMerge w:val="restart"/>
            <w:vAlign w:val="center"/>
          </w:tcPr>
          <w:p>
            <w:pPr>
              <w:spacing w:line="340" w:lineRule="exact"/>
              <w:jc w:val="center"/>
              <w:rPr>
                <w:rFonts w:hint="eastAsia" w:ascii="仿宋" w:hAnsi="仿宋" w:eastAsia="仿宋"/>
                <w:b/>
                <w:sz w:val="24"/>
              </w:rPr>
            </w:pPr>
            <w:r>
              <w:rPr>
                <w:rFonts w:hint="eastAsia" w:ascii="仿宋" w:hAnsi="仿宋" w:eastAsia="仿宋"/>
                <w:b/>
                <w:sz w:val="24"/>
              </w:rPr>
              <w:t>线上或线下</w:t>
            </w:r>
          </w:p>
          <w:p>
            <w:pPr>
              <w:spacing w:line="340" w:lineRule="exact"/>
              <w:jc w:val="center"/>
              <w:rPr>
                <w:rFonts w:hint="eastAsia" w:ascii="仿宋" w:hAnsi="仿宋" w:eastAsia="仿宋"/>
                <w:b/>
                <w:sz w:val="24"/>
              </w:rPr>
            </w:pPr>
            <w:r>
              <w:rPr>
                <w:rFonts w:hint="eastAsia" w:ascii="仿宋" w:hAnsi="仿宋" w:eastAsia="仿宋"/>
                <w:b/>
                <w:sz w:val="24"/>
              </w:rPr>
              <w:t>旁听庭审活动</w:t>
            </w:r>
          </w:p>
        </w:tc>
        <w:tc>
          <w:tcPr>
            <w:tcW w:w="2476" w:type="dxa"/>
            <w:gridSpan w:val="2"/>
            <w:vAlign w:val="center"/>
          </w:tcPr>
          <w:p>
            <w:pPr>
              <w:spacing w:line="340" w:lineRule="exact"/>
              <w:jc w:val="center"/>
              <w:rPr>
                <w:rFonts w:hint="eastAsia" w:ascii="仿宋" w:hAnsi="仿宋" w:eastAsia="仿宋"/>
                <w:b/>
                <w:sz w:val="24"/>
              </w:rPr>
            </w:pPr>
            <w:r>
              <w:rPr>
                <w:rFonts w:hint="eastAsia" w:ascii="仿宋" w:hAnsi="仿宋" w:eastAsia="仿宋"/>
                <w:b/>
                <w:sz w:val="24"/>
              </w:rPr>
              <w:t>法治宣传阵地建设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00" w:type="dxa"/>
            <w:vMerge w:val="continue"/>
            <w:tcBorders>
              <w:tl2br w:val="single" w:color="auto" w:sz="4" w:space="0"/>
            </w:tcBorders>
          </w:tcPr>
          <w:p>
            <w:pPr>
              <w:spacing w:line="340" w:lineRule="exact"/>
              <w:rPr>
                <w:rFonts w:hint="eastAsia" w:ascii="仿宋" w:hAnsi="仿宋" w:eastAsia="仿宋"/>
                <w:sz w:val="24"/>
              </w:rPr>
            </w:pPr>
          </w:p>
        </w:tc>
        <w:tc>
          <w:tcPr>
            <w:tcW w:w="2599" w:type="dxa"/>
            <w:vAlign w:val="center"/>
          </w:tcPr>
          <w:p>
            <w:pPr>
              <w:spacing w:line="340" w:lineRule="exact"/>
              <w:jc w:val="center"/>
              <w:rPr>
                <w:rFonts w:hint="eastAsia" w:ascii="仿宋" w:hAnsi="仿宋" w:eastAsia="仿宋"/>
                <w:b/>
                <w:sz w:val="24"/>
              </w:rPr>
            </w:pPr>
            <w:r>
              <w:rPr>
                <w:rFonts w:hint="eastAsia" w:ascii="仿宋" w:hAnsi="仿宋" w:eastAsia="仿宋"/>
                <w:b/>
                <w:sz w:val="24"/>
              </w:rPr>
              <w:t>领导班子</w:t>
            </w:r>
          </w:p>
        </w:tc>
        <w:tc>
          <w:tcPr>
            <w:tcW w:w="1680" w:type="dxa"/>
            <w:vAlign w:val="center"/>
          </w:tcPr>
          <w:p>
            <w:pPr>
              <w:spacing w:line="340" w:lineRule="exact"/>
              <w:jc w:val="center"/>
              <w:rPr>
                <w:rFonts w:hint="eastAsia" w:ascii="仿宋" w:hAnsi="仿宋" w:eastAsia="仿宋"/>
                <w:b/>
                <w:sz w:val="24"/>
              </w:rPr>
            </w:pPr>
            <w:r>
              <w:rPr>
                <w:rFonts w:hint="eastAsia" w:ascii="仿宋" w:hAnsi="仿宋" w:eastAsia="仿宋"/>
                <w:b/>
                <w:sz w:val="24"/>
              </w:rPr>
              <w:t>部门工作人员</w:t>
            </w:r>
          </w:p>
        </w:tc>
        <w:tc>
          <w:tcPr>
            <w:tcW w:w="3555" w:type="dxa"/>
            <w:vMerge w:val="continue"/>
          </w:tcPr>
          <w:p>
            <w:pPr>
              <w:spacing w:line="340" w:lineRule="exact"/>
              <w:rPr>
                <w:rFonts w:hint="eastAsia" w:ascii="仿宋" w:hAnsi="仿宋" w:eastAsia="仿宋"/>
                <w:sz w:val="24"/>
              </w:rPr>
            </w:pPr>
          </w:p>
        </w:tc>
        <w:tc>
          <w:tcPr>
            <w:tcW w:w="1545" w:type="dxa"/>
            <w:vMerge w:val="continue"/>
          </w:tcPr>
          <w:p>
            <w:pPr>
              <w:spacing w:line="340" w:lineRule="exact"/>
              <w:rPr>
                <w:rFonts w:hint="eastAsia" w:ascii="仿宋" w:hAnsi="仿宋" w:eastAsia="仿宋"/>
                <w:sz w:val="24"/>
              </w:rPr>
            </w:pPr>
          </w:p>
        </w:tc>
        <w:tc>
          <w:tcPr>
            <w:tcW w:w="1470" w:type="dxa"/>
            <w:vMerge w:val="continue"/>
          </w:tcPr>
          <w:p>
            <w:pPr>
              <w:spacing w:line="340" w:lineRule="exact"/>
              <w:jc w:val="center"/>
              <w:rPr>
                <w:rFonts w:hint="eastAsia" w:ascii="仿宋" w:hAnsi="仿宋" w:eastAsia="仿宋"/>
                <w:b/>
                <w:sz w:val="24"/>
              </w:rPr>
            </w:pPr>
          </w:p>
        </w:tc>
        <w:tc>
          <w:tcPr>
            <w:tcW w:w="1260" w:type="dxa"/>
            <w:vAlign w:val="center"/>
          </w:tcPr>
          <w:p>
            <w:pPr>
              <w:spacing w:line="340" w:lineRule="exact"/>
              <w:jc w:val="center"/>
              <w:rPr>
                <w:rFonts w:hint="eastAsia" w:ascii="仿宋" w:hAnsi="仿宋" w:eastAsia="仿宋"/>
                <w:b/>
                <w:sz w:val="24"/>
              </w:rPr>
            </w:pPr>
            <w:r>
              <w:rPr>
                <w:rFonts w:hint="eastAsia" w:ascii="仿宋" w:hAnsi="仿宋" w:eastAsia="仿宋"/>
                <w:b/>
                <w:sz w:val="24"/>
              </w:rPr>
              <w:t>已有阵地</w:t>
            </w:r>
          </w:p>
        </w:tc>
        <w:tc>
          <w:tcPr>
            <w:tcW w:w="1216" w:type="dxa"/>
            <w:vAlign w:val="center"/>
          </w:tcPr>
          <w:p>
            <w:pPr>
              <w:spacing w:line="340" w:lineRule="exact"/>
              <w:jc w:val="center"/>
              <w:rPr>
                <w:rFonts w:hint="eastAsia" w:ascii="仿宋" w:hAnsi="仿宋" w:eastAsia="仿宋"/>
                <w:b/>
                <w:sz w:val="24"/>
              </w:rPr>
            </w:pPr>
            <w:r>
              <w:rPr>
                <w:rFonts w:hint="eastAsia" w:ascii="仿宋" w:hAnsi="仿宋" w:eastAsia="仿宋"/>
                <w:b/>
                <w:sz w:val="24"/>
              </w:rPr>
              <w:t>拟建阵地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0" w:hRule="atLeast"/>
        </w:trPr>
        <w:tc>
          <w:tcPr>
            <w:tcW w:w="1100" w:type="dxa"/>
            <w:vAlign w:val="center"/>
          </w:tcPr>
          <w:p>
            <w:pPr>
              <w:spacing w:line="340" w:lineRule="exact"/>
              <w:jc w:val="center"/>
              <w:rPr>
                <w:rFonts w:eastAsia="仿宋"/>
                <w:sz w:val="24"/>
              </w:rPr>
            </w:pPr>
            <w:r>
              <w:rPr>
                <w:rFonts w:eastAsia="仿宋"/>
                <w:sz w:val="24"/>
              </w:rPr>
              <w:t>泉州市商务局</w:t>
            </w:r>
          </w:p>
        </w:tc>
        <w:tc>
          <w:tcPr>
            <w:tcW w:w="2599" w:type="dxa"/>
          </w:tcPr>
          <w:p>
            <w:pPr>
              <w:spacing w:line="340" w:lineRule="exact"/>
              <w:rPr>
                <w:rFonts w:eastAsia="仿宋"/>
                <w:sz w:val="24"/>
              </w:rPr>
            </w:pPr>
            <w:r>
              <w:rPr>
                <w:rFonts w:eastAsia="仿宋"/>
                <w:sz w:val="24"/>
              </w:rPr>
              <w:t>1、一季度党组中心组组织学习</w:t>
            </w:r>
            <w:r>
              <w:rPr>
                <w:rFonts w:eastAsia="仿宋_GB2312"/>
                <w:sz w:val="24"/>
              </w:rPr>
              <w:t>党的十九届五中全会精神、</w:t>
            </w:r>
            <w:r>
              <w:rPr>
                <w:rFonts w:hint="eastAsia" w:eastAsia="仿宋_GB2312"/>
                <w:sz w:val="24"/>
                <w:lang w:eastAsia="zh-CN"/>
              </w:rPr>
              <w:t>《</w:t>
            </w:r>
            <w:r>
              <w:rPr>
                <w:rFonts w:eastAsia="仿宋_GB2312"/>
                <w:sz w:val="24"/>
              </w:rPr>
              <w:t>习近平谈治国理政</w:t>
            </w:r>
            <w:bookmarkStart w:id="1" w:name="_GoBack"/>
            <w:bookmarkEnd w:id="1"/>
            <w:r>
              <w:rPr>
                <w:rFonts w:hint="eastAsia" w:eastAsia="仿宋_GB2312"/>
                <w:sz w:val="24"/>
                <w:lang w:eastAsia="zh-CN"/>
              </w:rPr>
              <w:t>》</w:t>
            </w:r>
            <w:r>
              <w:rPr>
                <w:rFonts w:eastAsia="仿宋_GB2312"/>
                <w:sz w:val="24"/>
              </w:rPr>
              <w:t>第三卷</w:t>
            </w:r>
            <w:r>
              <w:rPr>
                <w:rFonts w:eastAsia="仿宋"/>
                <w:sz w:val="24"/>
              </w:rPr>
              <w:t>；2、二季度学习</w:t>
            </w:r>
            <w:r>
              <w:rPr>
                <w:rFonts w:hint="eastAsia" w:eastAsia="仿宋_GB2312"/>
                <w:sz w:val="24"/>
              </w:rPr>
              <w:t>民法典、国家安全法</w:t>
            </w:r>
            <w:r>
              <w:rPr>
                <w:rFonts w:eastAsia="仿宋"/>
                <w:sz w:val="24"/>
              </w:rPr>
              <w:t>；3.三季度学习</w:t>
            </w:r>
            <w:r>
              <w:rPr>
                <w:rFonts w:eastAsia="仿宋_GB2312"/>
                <w:sz w:val="24"/>
              </w:rPr>
              <w:t>习近平法治思想；4.</w:t>
            </w:r>
            <w:r>
              <w:rPr>
                <w:rFonts w:eastAsia="仿宋"/>
                <w:sz w:val="24"/>
              </w:rPr>
              <w:t>四季度学习《法治中国建设规划(2020－2025年)》</w:t>
            </w:r>
          </w:p>
        </w:tc>
        <w:tc>
          <w:tcPr>
            <w:tcW w:w="1680" w:type="dxa"/>
          </w:tcPr>
          <w:p>
            <w:pPr>
              <w:spacing w:line="340" w:lineRule="exact"/>
              <w:rPr>
                <w:rFonts w:eastAsia="仿宋"/>
                <w:sz w:val="24"/>
              </w:rPr>
            </w:pPr>
            <w:r>
              <w:rPr>
                <w:rFonts w:eastAsia="仿宋"/>
                <w:sz w:val="24"/>
              </w:rPr>
              <w:t>委托法律顾问、党校教授开展</w:t>
            </w:r>
            <w:r>
              <w:rPr>
                <w:rFonts w:eastAsia="仿宋_GB2312"/>
                <w:sz w:val="24"/>
              </w:rPr>
              <w:t>党的十九届五中全会精神、习近平法治思想、民法典、国家安全法、个人所得税法、优化营商环境条例等法律法规</w:t>
            </w:r>
            <w:r>
              <w:rPr>
                <w:rFonts w:hint="eastAsia" w:eastAsia="仿宋_GB2312"/>
                <w:sz w:val="24"/>
              </w:rPr>
              <w:t>学习</w:t>
            </w:r>
          </w:p>
        </w:tc>
        <w:tc>
          <w:tcPr>
            <w:tcW w:w="3555" w:type="dxa"/>
            <w:vAlign w:val="bottom"/>
          </w:tcPr>
          <w:p>
            <w:pPr>
              <w:spacing w:line="340" w:lineRule="exact"/>
              <w:rPr>
                <w:rFonts w:eastAsia="仿宋_GB2312"/>
                <w:sz w:val="24"/>
              </w:rPr>
            </w:pPr>
            <w:r>
              <w:rPr>
                <w:rFonts w:eastAsia="仿宋"/>
                <w:sz w:val="24"/>
              </w:rPr>
              <w:t>1、一季度组织</w:t>
            </w:r>
            <w:r>
              <w:rPr>
                <w:rFonts w:eastAsia="仿宋_GB2312"/>
                <w:sz w:val="24"/>
              </w:rPr>
              <w:t>各县市区商务主管部门、行业商协会、外经贸企业参加《区域全面经济伙伴关系协定》（RCEP）专题讲座</w:t>
            </w:r>
            <w:r>
              <w:rPr>
                <w:rFonts w:eastAsia="仿宋"/>
                <w:sz w:val="24"/>
              </w:rPr>
              <w:t>；2、二季度组织</w:t>
            </w:r>
            <w:r>
              <w:rPr>
                <w:rFonts w:eastAsia="仿宋_GB2312"/>
                <w:sz w:val="24"/>
              </w:rPr>
              <w:t>各县市区商务主管部门、外经贸企业开展《中华人民共和国出口管制法》等外贸进出口法律法规学习；</w:t>
            </w:r>
          </w:p>
          <w:p>
            <w:pPr>
              <w:spacing w:line="340" w:lineRule="exact"/>
              <w:rPr>
                <w:rFonts w:eastAsia="仿宋_GB2312"/>
                <w:sz w:val="24"/>
              </w:rPr>
            </w:pPr>
            <w:r>
              <w:rPr>
                <w:rFonts w:eastAsia="仿宋_GB2312"/>
                <w:sz w:val="24"/>
              </w:rPr>
              <w:t>3、</w:t>
            </w:r>
            <w:r>
              <w:rPr>
                <w:rFonts w:hint="eastAsia" w:eastAsia="仿宋_GB2312"/>
                <w:sz w:val="24"/>
              </w:rPr>
              <w:t>四</w:t>
            </w:r>
            <w:r>
              <w:rPr>
                <w:rFonts w:eastAsia="仿宋_GB2312"/>
                <w:sz w:val="24"/>
              </w:rPr>
              <w:t>季度组织各县市区商务主管部门、</w:t>
            </w:r>
            <w:r>
              <w:rPr>
                <w:rFonts w:hint="eastAsia" w:eastAsia="仿宋_GB2312"/>
                <w:sz w:val="24"/>
              </w:rPr>
              <w:t>重点外商投资</w:t>
            </w:r>
            <w:r>
              <w:rPr>
                <w:rFonts w:eastAsia="仿宋_GB2312"/>
                <w:sz w:val="24"/>
              </w:rPr>
              <w:t>企业参加外资相关法律法规</w:t>
            </w:r>
            <w:r>
              <w:rPr>
                <w:rFonts w:hint="eastAsia" w:eastAsia="仿宋_GB2312"/>
                <w:sz w:val="24"/>
              </w:rPr>
              <w:t>学习</w:t>
            </w:r>
            <w:r>
              <w:rPr>
                <w:rFonts w:eastAsia="仿宋_GB2312"/>
                <w:sz w:val="24"/>
              </w:rPr>
              <w:t>；</w:t>
            </w:r>
          </w:p>
          <w:p>
            <w:pPr>
              <w:spacing w:line="340" w:lineRule="exact"/>
              <w:rPr>
                <w:rFonts w:eastAsia="仿宋"/>
                <w:sz w:val="24"/>
              </w:rPr>
            </w:pPr>
            <w:r>
              <w:rPr>
                <w:rFonts w:eastAsia="仿宋_GB2312"/>
                <w:sz w:val="24"/>
              </w:rPr>
              <w:t>4、</w:t>
            </w:r>
            <w:r>
              <w:rPr>
                <w:rFonts w:eastAsia="仿宋"/>
                <w:sz w:val="24"/>
              </w:rPr>
              <w:t>全年在执法工作中宣传商务相关法律法规</w:t>
            </w:r>
          </w:p>
        </w:tc>
        <w:tc>
          <w:tcPr>
            <w:tcW w:w="1545" w:type="dxa"/>
          </w:tcPr>
          <w:p>
            <w:pPr>
              <w:spacing w:line="340" w:lineRule="exact"/>
              <w:rPr>
                <w:rFonts w:eastAsia="仿宋"/>
                <w:sz w:val="24"/>
              </w:rPr>
            </w:pPr>
            <w:r>
              <w:rPr>
                <w:rFonts w:eastAsia="仿宋"/>
                <w:sz w:val="24"/>
              </w:rPr>
              <w:t>12.4与多部门通过现场普法等多种方式联合开展宪法宣传活动</w:t>
            </w:r>
          </w:p>
        </w:tc>
        <w:tc>
          <w:tcPr>
            <w:tcW w:w="1470" w:type="dxa"/>
          </w:tcPr>
          <w:p>
            <w:pPr>
              <w:spacing w:line="340" w:lineRule="exact"/>
              <w:rPr>
                <w:rFonts w:eastAsia="仿宋"/>
                <w:sz w:val="24"/>
              </w:rPr>
            </w:pPr>
            <w:r>
              <w:rPr>
                <w:rFonts w:eastAsia="仿宋"/>
                <w:sz w:val="24"/>
              </w:rPr>
              <w:t>组织全体干部观看庭审直播录像；根据安排，组织领导干部现场旁听庭审活动</w:t>
            </w:r>
          </w:p>
        </w:tc>
        <w:tc>
          <w:tcPr>
            <w:tcW w:w="1260" w:type="dxa"/>
          </w:tcPr>
          <w:p>
            <w:pPr>
              <w:spacing w:line="340" w:lineRule="exact"/>
              <w:rPr>
                <w:sz w:val="24"/>
              </w:rPr>
            </w:pPr>
            <w:r>
              <w:rPr>
                <w:rFonts w:eastAsia="仿宋_GB2312"/>
                <w:sz w:val="24"/>
              </w:rPr>
              <w:t>泉州市商务局涉外法律服务专栏（官方网站、微信公众号），公益直播平台“涉外法律服务直播间”</w:t>
            </w:r>
          </w:p>
        </w:tc>
        <w:tc>
          <w:tcPr>
            <w:tcW w:w="1216" w:type="dxa"/>
            <w:vAlign w:val="center"/>
          </w:tcPr>
          <w:p>
            <w:pPr>
              <w:spacing w:line="340" w:lineRule="exact"/>
              <w:jc w:val="center"/>
              <w:rPr>
                <w:rFonts w:eastAsia="仿宋"/>
                <w:sz w:val="24"/>
              </w:rPr>
            </w:pPr>
            <w:r>
              <w:rPr>
                <w:rFonts w:eastAsia="仿宋"/>
                <w:sz w:val="24"/>
              </w:rPr>
              <w:t>无</w:t>
            </w:r>
          </w:p>
        </w:tc>
      </w:tr>
    </w:tbl>
    <w:p>
      <w:pPr>
        <w:spacing w:line="400" w:lineRule="exact"/>
        <w:rPr>
          <w:rFonts w:hint="eastAsia" w:ascii="仿宋_GB2312" w:hAnsi="仿宋" w:eastAsia="仿宋_GB2312"/>
          <w:szCs w:val="21"/>
        </w:rPr>
      </w:pPr>
      <w:r>
        <w:rPr>
          <w:rFonts w:hint="eastAsia" w:ascii="仿宋_GB2312" w:hAnsi="仿宋" w:eastAsia="仿宋_GB2312"/>
          <w:szCs w:val="21"/>
        </w:rPr>
        <w:t>备注：1、根据《中央全面依法治国委员会办公室关于开展法治政府建设示范创建活动的意见》要求，领导班子每年至少安排4次以上法治专题学习。</w:t>
      </w:r>
    </w:p>
    <w:p>
      <w:pPr>
        <w:numPr>
          <w:ilvl w:val="0"/>
          <w:numId w:val="1"/>
        </w:numPr>
        <w:spacing w:line="400" w:lineRule="exact"/>
        <w:rPr>
          <w:rFonts w:hint="eastAsia" w:ascii="仿宋" w:hAnsi="仿宋" w:eastAsia="仿宋"/>
          <w:sz w:val="28"/>
          <w:szCs w:val="28"/>
        </w:rPr>
      </w:pPr>
      <w:r>
        <w:rPr>
          <w:rFonts w:hint="eastAsia" w:ascii="仿宋_GB2312" w:hAnsi="仿宋" w:eastAsia="仿宋_GB2312"/>
          <w:szCs w:val="21"/>
        </w:rPr>
        <w:t>根据《泉州市建立国家工作人员旁听庭审活动常态化制度化的实施意见》要求，国家工作人员参加线上或线下旁听庭审每年不少于1次，市管领导干部旁听活动每年不少于2次。</w:t>
      </w:r>
    </w:p>
    <w:sectPr>
      <w:footerReference r:id="rId3" w:type="default"/>
      <w:pgSz w:w="16838" w:h="11906" w:orient="landscape"/>
      <w:pgMar w:top="1361" w:right="2098" w:bottom="1247" w:left="1701" w:header="851" w:footer="992" w:gutter="0"/>
      <w:pgNumType w:fmt="decimalFullWidth"/>
      <w:cols w:space="720" w:num="1"/>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hint="eastAsia"/>
        <w:sz w:val="28"/>
        <w:szCs w:val="28"/>
      </w:rPr>
    </w:pPr>
    <w:r>
      <w:rPr>
        <w:rStyle w:val="11"/>
        <w:rFonts w:hint="eastAsia"/>
        <w:sz w:val="28"/>
        <w:szCs w:val="28"/>
      </w:rPr>
      <w:t>—</w:t>
    </w:r>
    <w:r>
      <w:rPr>
        <w:sz w:val="28"/>
        <w:szCs w:val="28"/>
      </w:rPr>
      <w:fldChar w:fldCharType="begin"/>
    </w:r>
    <w:r>
      <w:rPr>
        <w:rStyle w:val="11"/>
        <w:sz w:val="28"/>
        <w:szCs w:val="28"/>
      </w:rPr>
      <w:instrText xml:space="preserve">PAGE  </w:instrText>
    </w:r>
    <w:r>
      <w:rPr>
        <w:sz w:val="28"/>
        <w:szCs w:val="28"/>
      </w:rPr>
      <w:fldChar w:fldCharType="separate"/>
    </w:r>
    <w:r>
      <w:rPr>
        <w:rStyle w:val="11"/>
        <w:rFonts w:hint="eastAsia"/>
        <w:sz w:val="28"/>
        <w:szCs w:val="28"/>
      </w:rPr>
      <w:t>１</w:t>
    </w:r>
    <w:r>
      <w:rPr>
        <w:sz w:val="28"/>
        <w:szCs w:val="28"/>
      </w:rPr>
      <w:fldChar w:fldCharType="end"/>
    </w:r>
    <w:r>
      <w:rPr>
        <w:rStyle w:val="11"/>
        <w:rFonts w:hint="eastAsia"/>
        <w:sz w:val="28"/>
        <w:szCs w:val="28"/>
      </w:rPr>
      <w:t>—</w:t>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2BB95"/>
    <w:multiLevelType w:val="singleLevel"/>
    <w:tmpl w:val="A872BB9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420"/>
  <w:drawingGridVerticalSpacing w:val="158"/>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2287B"/>
    <w:rsid w:val="0002318D"/>
    <w:rsid w:val="00024123"/>
    <w:rsid w:val="0005242F"/>
    <w:rsid w:val="00081DC1"/>
    <w:rsid w:val="000B2B4B"/>
    <w:rsid w:val="000B7574"/>
    <w:rsid w:val="000D366A"/>
    <w:rsid w:val="00101ED1"/>
    <w:rsid w:val="0010649F"/>
    <w:rsid w:val="00120464"/>
    <w:rsid w:val="001259B6"/>
    <w:rsid w:val="00125E98"/>
    <w:rsid w:val="0015018E"/>
    <w:rsid w:val="0019415F"/>
    <w:rsid w:val="001E765F"/>
    <w:rsid w:val="00206C0C"/>
    <w:rsid w:val="00226773"/>
    <w:rsid w:val="002C5C9C"/>
    <w:rsid w:val="00382E75"/>
    <w:rsid w:val="003A367D"/>
    <w:rsid w:val="003B554F"/>
    <w:rsid w:val="004A5974"/>
    <w:rsid w:val="00527E4A"/>
    <w:rsid w:val="005A73AC"/>
    <w:rsid w:val="005D41CD"/>
    <w:rsid w:val="005F716B"/>
    <w:rsid w:val="00663836"/>
    <w:rsid w:val="00666764"/>
    <w:rsid w:val="006703FF"/>
    <w:rsid w:val="00687084"/>
    <w:rsid w:val="006B1781"/>
    <w:rsid w:val="006C260C"/>
    <w:rsid w:val="006E61CF"/>
    <w:rsid w:val="00703C1F"/>
    <w:rsid w:val="00732FAC"/>
    <w:rsid w:val="00737D43"/>
    <w:rsid w:val="0074499A"/>
    <w:rsid w:val="007546E8"/>
    <w:rsid w:val="007C64FC"/>
    <w:rsid w:val="007D64E5"/>
    <w:rsid w:val="007E09BE"/>
    <w:rsid w:val="00870E7B"/>
    <w:rsid w:val="0087675C"/>
    <w:rsid w:val="008A7ED4"/>
    <w:rsid w:val="008B338B"/>
    <w:rsid w:val="008D6C8C"/>
    <w:rsid w:val="009379DB"/>
    <w:rsid w:val="009A315B"/>
    <w:rsid w:val="009A5EA8"/>
    <w:rsid w:val="009E600E"/>
    <w:rsid w:val="00A3300E"/>
    <w:rsid w:val="00A53107"/>
    <w:rsid w:val="00A532AD"/>
    <w:rsid w:val="00A83131"/>
    <w:rsid w:val="00A931DF"/>
    <w:rsid w:val="00AD1A44"/>
    <w:rsid w:val="00B27F60"/>
    <w:rsid w:val="00B51E0C"/>
    <w:rsid w:val="00B83EA4"/>
    <w:rsid w:val="00BB5322"/>
    <w:rsid w:val="00C03DDB"/>
    <w:rsid w:val="00C2620F"/>
    <w:rsid w:val="00C3095F"/>
    <w:rsid w:val="00C42FC9"/>
    <w:rsid w:val="00C964A9"/>
    <w:rsid w:val="00CA61D6"/>
    <w:rsid w:val="00CB3269"/>
    <w:rsid w:val="00CC50E4"/>
    <w:rsid w:val="00CE0F57"/>
    <w:rsid w:val="00D44283"/>
    <w:rsid w:val="00D816CF"/>
    <w:rsid w:val="00D97874"/>
    <w:rsid w:val="00DE0EC2"/>
    <w:rsid w:val="00DE3378"/>
    <w:rsid w:val="00E042D2"/>
    <w:rsid w:val="00E33686"/>
    <w:rsid w:val="00E52289"/>
    <w:rsid w:val="00E946A8"/>
    <w:rsid w:val="00EA4B82"/>
    <w:rsid w:val="00EC4AC1"/>
    <w:rsid w:val="00F17A03"/>
    <w:rsid w:val="00F3707B"/>
    <w:rsid w:val="00F813BD"/>
    <w:rsid w:val="00FA5F6D"/>
    <w:rsid w:val="04B32E21"/>
    <w:rsid w:val="0A813F91"/>
    <w:rsid w:val="11526091"/>
    <w:rsid w:val="13C04C3E"/>
    <w:rsid w:val="1B8E062C"/>
    <w:rsid w:val="1D316B74"/>
    <w:rsid w:val="1D562ACB"/>
    <w:rsid w:val="1F0C2A93"/>
    <w:rsid w:val="21854F96"/>
    <w:rsid w:val="26271D53"/>
    <w:rsid w:val="2F224D96"/>
    <w:rsid w:val="30E70820"/>
    <w:rsid w:val="33AA4FCD"/>
    <w:rsid w:val="35D81612"/>
    <w:rsid w:val="3A571940"/>
    <w:rsid w:val="3BCB2A12"/>
    <w:rsid w:val="3CFF14E7"/>
    <w:rsid w:val="40172C00"/>
    <w:rsid w:val="40B747FF"/>
    <w:rsid w:val="40ED4FB0"/>
    <w:rsid w:val="414830D8"/>
    <w:rsid w:val="417D11B8"/>
    <w:rsid w:val="41AB6C94"/>
    <w:rsid w:val="46D354BF"/>
    <w:rsid w:val="47046A0A"/>
    <w:rsid w:val="473832D8"/>
    <w:rsid w:val="48905143"/>
    <w:rsid w:val="54AA20A8"/>
    <w:rsid w:val="56594AFA"/>
    <w:rsid w:val="576A789A"/>
    <w:rsid w:val="58C05A9A"/>
    <w:rsid w:val="599169BB"/>
    <w:rsid w:val="5CF76B60"/>
    <w:rsid w:val="633C6BB4"/>
    <w:rsid w:val="63CC50E0"/>
    <w:rsid w:val="64CF2CAC"/>
    <w:rsid w:val="669857AA"/>
    <w:rsid w:val="699D9ACB"/>
    <w:rsid w:val="6E637F4E"/>
    <w:rsid w:val="72172F19"/>
    <w:rsid w:val="731474DA"/>
    <w:rsid w:val="775B0388"/>
    <w:rsid w:val="78E9172A"/>
    <w:rsid w:val="790036DC"/>
    <w:rsid w:val="7BD000CE"/>
    <w:rsid w:val="7D414F59"/>
    <w:rsid w:val="7DDC2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customStyle="1" w:styleId="13">
    <w:name w:val="页眉 Char"/>
    <w:basedOn w:val="9"/>
    <w:link w:val="5"/>
    <w:qFormat/>
    <w:uiPriority w:val="0"/>
    <w:rPr>
      <w:kern w:val="2"/>
      <w:sz w:val="18"/>
      <w:szCs w:val="18"/>
    </w:rPr>
  </w:style>
  <w:style w:type="paragraph" w:customStyle="1" w:styleId="14">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样式1"/>
    <w:basedOn w:val="1"/>
    <w:qFormat/>
    <w:uiPriority w:val="0"/>
    <w:pPr>
      <w:ind w:firstLine="640" w:firstLineChars="200"/>
    </w:pPr>
    <w:rPr>
      <w:rFonts w:ascii="Calibri" w:hAnsi="Calibri" w:eastAsia="仿宋"/>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214</Words>
  <Characters>1221</Characters>
  <Lines>10</Lines>
  <Paragraphs>2</Paragraphs>
  <TotalTime>0</TotalTime>
  <ScaleCrop>false</ScaleCrop>
  <LinksUpToDate>false</LinksUpToDate>
  <CharactersWithSpaces>1433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2021-04-13T10:20:00Z</dcterms:created>
  <dc:creator>1111</dc:creator>
  <cp:lastModifiedBy>casic</cp:lastModifiedBy>
  <cp:lastPrinted>2021-02-03T10:27:00Z</cp:lastPrinted>
  <dcterms:modified xsi:type="dcterms:W3CDTF">2025-09-18T17:52:44Z</dcterms:modified>
  <dc:title>泉治市办〔2018〕8号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