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BA63C">
      <w:pPr>
        <w:snapToGrid/>
        <w:spacing w:line="600" w:lineRule="exact"/>
        <w:ind w:firstLine="0" w:firstLineChars="0"/>
        <w:outlineLvl w:val="0"/>
        <w:rPr>
          <w:rFonts w:hint="eastAsia" w:ascii="黑体" w:hAnsi="黑体" w:eastAsia="黑体" w:cs="黑体"/>
          <w:kern w:val="44"/>
          <w:lang w:eastAsia="zh-CN"/>
        </w:rPr>
      </w:pPr>
      <w:r>
        <w:rPr>
          <w:rFonts w:hint="eastAsia" w:ascii="黑体" w:hAnsi="黑体" w:eastAsia="黑体" w:cs="黑体"/>
          <w:kern w:val="44"/>
        </w:rPr>
        <w:t>附件</w:t>
      </w:r>
      <w:bookmarkStart w:id="0" w:name="_Toc219329231"/>
      <w:r>
        <w:rPr>
          <w:rFonts w:hint="eastAsia" w:ascii="黑体" w:hAnsi="黑体" w:eastAsia="黑体" w:cs="黑体"/>
          <w:kern w:val="44"/>
          <w:lang w:val="en-US" w:eastAsia="zh-CN"/>
        </w:rPr>
        <w:t>3</w:t>
      </w:r>
    </w:p>
    <w:bookmarkEnd w:id="0"/>
    <w:p w14:paraId="21D43EB9">
      <w:pPr>
        <w:snapToGrid/>
        <w:spacing w:line="600" w:lineRule="exact"/>
        <w:ind w:firstLine="0" w:firstLineChars="0"/>
        <w:jc w:val="center"/>
        <w:rPr>
          <w:rFonts w:hint="eastAsia" w:ascii="方正小标宋简体" w:hAnsi="方正小标宋简体" w:eastAsia="方正小标宋简体" w:cs="方正小标宋简体"/>
          <w:kern w:val="44"/>
          <w:sz w:val="40"/>
          <w:szCs w:val="40"/>
        </w:rPr>
      </w:pPr>
      <w:bookmarkStart w:id="1" w:name="_Toc211966812"/>
    </w:p>
    <w:p w14:paraId="18E80700">
      <w:pPr>
        <w:snapToGrid/>
        <w:spacing w:line="600" w:lineRule="exact"/>
        <w:ind w:firstLine="0" w:firstLineChars="0"/>
        <w:jc w:val="center"/>
        <w:outlineLvl w:val="0"/>
        <w:rPr>
          <w:rFonts w:hint="eastAsia" w:ascii="方正小标宋简体" w:hAnsi="方正小标宋简体" w:eastAsia="方正小标宋简体" w:cs="方正小标宋简体"/>
          <w:kern w:val="44"/>
          <w:sz w:val="40"/>
          <w:szCs w:val="40"/>
        </w:rPr>
      </w:pPr>
      <w:bookmarkStart w:id="2" w:name="_GoBack"/>
      <w:r>
        <w:rPr>
          <w:rFonts w:hint="eastAsia" w:ascii="方正小标宋简体" w:hAnsi="方正小标宋简体" w:eastAsia="方正小标宋简体" w:cs="方正小标宋简体"/>
          <w:kern w:val="44"/>
          <w:sz w:val="40"/>
          <w:szCs w:val="40"/>
        </w:rPr>
        <w:t>泉州市建设消费新业态新模式新场景试点城市项目资金管理实施细则</w:t>
      </w:r>
      <w:bookmarkEnd w:id="1"/>
    </w:p>
    <w:bookmarkEnd w:id="2"/>
    <w:p w14:paraId="3E9C0DB0">
      <w:pPr>
        <w:snapToGrid/>
        <w:spacing w:line="600" w:lineRule="exact"/>
        <w:ind w:firstLine="0" w:firstLineChars="0"/>
        <w:rPr>
          <w:rFonts w:ascii="Times New Roman" w:hAnsi="Times New Roman" w:eastAsia="黑体"/>
          <w:kern w:val="44"/>
        </w:rPr>
      </w:pPr>
    </w:p>
    <w:p w14:paraId="4D57EAAA">
      <w:pPr>
        <w:snapToGrid/>
        <w:spacing w:line="560" w:lineRule="exact"/>
        <w:ind w:firstLine="0" w:firstLineChars="0"/>
        <w:jc w:val="center"/>
        <w:rPr>
          <w:rFonts w:ascii="Times New Roman" w:hAnsi="Times New Roman" w:eastAsia="黑体"/>
          <w:szCs w:val="32"/>
        </w:rPr>
      </w:pPr>
      <w:r>
        <w:rPr>
          <w:rFonts w:hint="eastAsia" w:ascii="Times New Roman" w:hAnsi="Times New Roman" w:eastAsia="黑体"/>
          <w:szCs w:val="32"/>
        </w:rPr>
        <w:t>一、总</w:t>
      </w:r>
      <w:r>
        <w:rPr>
          <w:rFonts w:ascii="Times New Roman" w:hAnsi="Times New Roman" w:eastAsia="黑体"/>
          <w:szCs w:val="32"/>
        </w:rPr>
        <w:t xml:space="preserve">  </w:t>
      </w:r>
      <w:r>
        <w:rPr>
          <w:rFonts w:hint="eastAsia" w:ascii="Times New Roman" w:hAnsi="Times New Roman" w:eastAsia="黑体"/>
          <w:szCs w:val="32"/>
        </w:rPr>
        <w:t>则</w:t>
      </w:r>
    </w:p>
    <w:p w14:paraId="07A926C8">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第一条</w:t>
      </w:r>
      <w:r>
        <w:rPr>
          <w:rFonts w:hint="eastAsia" w:ascii="仿宋_GB2312" w:hAnsi="仿宋_GB2312" w:cs="仿宋_GB2312"/>
          <w:szCs w:val="32"/>
        </w:rPr>
        <w:t xml:space="preserve">  为深入贯彻落实财政部、商务部关于开展消费新业态新模式新场景试点城市工作部署，规范服务业发展资金管理，提高资金使用效益，根据《中华人民共和国预算法》《财政部关于印发&lt;服务业发展资金管理办法&gt;的通知》（财建〔2023〕9号）、《财政部 商务部关于开展消费新业态新模式新场景试点工作的通知》（</w:t>
      </w:r>
      <w:r>
        <w:rPr>
          <w:rFonts w:hint="eastAsia" w:ascii="仿宋_GB2312" w:hAnsi="仿宋_GB2312" w:cs="仿宋_GB2312"/>
          <w:kern w:val="0"/>
          <w:szCs w:val="32"/>
          <w:lang w:bidi="ar"/>
        </w:rPr>
        <w:t>财建〔2025〕341号</w:t>
      </w:r>
      <w:r>
        <w:rPr>
          <w:rFonts w:hint="eastAsia" w:ascii="仿宋_GB2312" w:hAnsi="仿宋_GB2312" w:cs="仿宋_GB2312"/>
          <w:szCs w:val="32"/>
        </w:rPr>
        <w:t>）、《商务部办公厅 财政部办公厅关于做好消费新业态新模式新场景试点有关工作的通知》，结合具体项目实际情况，制定本细则。</w:t>
      </w:r>
    </w:p>
    <w:p w14:paraId="5174875C">
      <w:pPr>
        <w:snapToGrid/>
        <w:spacing w:line="560" w:lineRule="exact"/>
        <w:ind w:firstLine="643"/>
        <w:rPr>
          <w:rFonts w:hint="eastAsia" w:ascii="仿宋_GB2312" w:hAnsi="仿宋_GB2312" w:cs="仿宋_GB2312"/>
          <w:kern w:val="0"/>
          <w:szCs w:val="32"/>
        </w:rPr>
      </w:pPr>
      <w:r>
        <w:rPr>
          <w:rFonts w:hint="eastAsia" w:ascii="仿宋_GB2312" w:hAnsi="仿宋_GB2312" w:cs="仿宋_GB2312"/>
          <w:b/>
          <w:bCs/>
          <w:szCs w:val="32"/>
        </w:rPr>
        <w:t>第二条</w:t>
      </w:r>
      <w:r>
        <w:rPr>
          <w:rFonts w:hint="eastAsia" w:ascii="仿宋_GB2312" w:hAnsi="仿宋_GB2312" w:cs="仿宋_GB2312"/>
          <w:kern w:val="0"/>
          <w:szCs w:val="32"/>
        </w:rPr>
        <w:t xml:space="preserve">  本细则所称中央服务业发展专项“三新”试点城市项目资金（以下简称专项资金）是指中央服务业发展资金安排的，用于支持2025年10月1日（含）起至2027年6月30日（含）前泉州市开展建设消费新业态新模式新场景试点城市工作的专项资金。</w:t>
      </w:r>
    </w:p>
    <w:p w14:paraId="0D6220F7">
      <w:pPr>
        <w:snapToGrid/>
        <w:spacing w:line="560" w:lineRule="exact"/>
        <w:ind w:firstLine="643"/>
        <w:rPr>
          <w:rFonts w:hint="eastAsia" w:ascii="仿宋_GB2312" w:hAnsi="仿宋_GB2312" w:cs="仿宋_GB2312"/>
          <w:kern w:val="0"/>
          <w:szCs w:val="32"/>
        </w:rPr>
      </w:pPr>
      <w:r>
        <w:rPr>
          <w:rFonts w:hint="eastAsia" w:ascii="仿宋_GB2312" w:hAnsi="仿宋_GB2312" w:cs="仿宋_GB2312"/>
          <w:b/>
          <w:bCs/>
          <w:szCs w:val="32"/>
        </w:rPr>
        <w:t>第三条</w:t>
      </w:r>
      <w:r>
        <w:rPr>
          <w:rFonts w:hint="eastAsia" w:ascii="仿宋_GB2312" w:hAnsi="仿宋_GB2312" w:cs="仿宋_GB2312"/>
          <w:szCs w:val="32"/>
        </w:rPr>
        <w:t xml:space="preserve">  </w:t>
      </w:r>
      <w:r>
        <w:rPr>
          <w:rFonts w:hint="eastAsia" w:ascii="仿宋_GB2312" w:hAnsi="仿宋_GB2312" w:cs="仿宋_GB2312"/>
          <w:kern w:val="0"/>
          <w:szCs w:val="32"/>
        </w:rPr>
        <w:t>专项资金的管理和使用遵循</w:t>
      </w:r>
      <w:r>
        <w:rPr>
          <w:rFonts w:hint="eastAsia" w:ascii="仿宋_GB2312" w:hAnsi="仿宋_GB2312" w:cs="仿宋_GB2312"/>
          <w:kern w:val="0"/>
          <w:szCs w:val="40"/>
        </w:rPr>
        <w:t>科学规范、公平公正、聚焦重点、讲求绩效的原则</w:t>
      </w:r>
      <w:r>
        <w:rPr>
          <w:rFonts w:hint="eastAsia" w:ascii="仿宋_GB2312" w:hAnsi="仿宋_GB2312" w:cs="仿宋_GB2312"/>
          <w:kern w:val="0"/>
          <w:szCs w:val="32"/>
        </w:rPr>
        <w:t>。</w:t>
      </w:r>
    </w:p>
    <w:p w14:paraId="01C4FF1B">
      <w:pPr>
        <w:snapToGrid/>
        <w:spacing w:line="560" w:lineRule="exact"/>
        <w:ind w:firstLine="643"/>
        <w:rPr>
          <w:rFonts w:hint="eastAsia" w:ascii="仿宋_GB2312" w:hAnsi="仿宋_GB2312" w:cs="仿宋_GB2312"/>
          <w:kern w:val="0"/>
          <w:szCs w:val="32"/>
        </w:rPr>
      </w:pPr>
      <w:r>
        <w:rPr>
          <w:rFonts w:hint="eastAsia" w:ascii="仿宋_GB2312" w:hAnsi="仿宋_GB2312" w:cs="仿宋_GB2312"/>
          <w:b/>
          <w:bCs/>
          <w:szCs w:val="32"/>
        </w:rPr>
        <w:t>第四条</w:t>
      </w:r>
      <w:r>
        <w:rPr>
          <w:rFonts w:hint="eastAsia" w:ascii="仿宋_GB2312" w:hAnsi="仿宋_GB2312" w:cs="仿宋_GB2312"/>
          <w:szCs w:val="32"/>
        </w:rPr>
        <w:t xml:space="preserve">  市政府组</w:t>
      </w:r>
      <w:r>
        <w:rPr>
          <w:rFonts w:hint="eastAsia" w:ascii="仿宋_GB2312" w:hAnsi="仿宋_GB2312" w:cs="仿宋_GB2312"/>
          <w:kern w:val="0"/>
          <w:szCs w:val="32"/>
        </w:rPr>
        <w:t>织建立试点工作协调机制，研究审定试点建设方案、入库项目和资金分配安排等。各单位按照责任分工，共同推进项目执行及日常调度等事项。</w:t>
      </w:r>
    </w:p>
    <w:p w14:paraId="6ABBAF45">
      <w:pPr>
        <w:snapToGrid/>
        <w:spacing w:line="560" w:lineRule="exact"/>
        <w:ind w:firstLine="560" w:firstLineChars="0"/>
        <w:rPr>
          <w:rFonts w:hint="eastAsia" w:ascii="仿宋_GB2312" w:hAnsi="仿宋_GB2312" w:cs="仿宋_GB2312"/>
          <w:kern w:val="0"/>
          <w:szCs w:val="32"/>
        </w:rPr>
      </w:pPr>
      <w:r>
        <w:rPr>
          <w:rFonts w:hint="eastAsia" w:ascii="楷体_GB2312" w:hAnsi="楷体_GB2312" w:eastAsia="楷体_GB2312" w:cs="楷体_GB2312"/>
          <w:szCs w:val="32"/>
        </w:rPr>
        <w:t>（一）市财政局。</w:t>
      </w:r>
      <w:r>
        <w:rPr>
          <w:rFonts w:hint="eastAsia" w:ascii="仿宋_GB2312" w:hAnsi="仿宋_GB2312" w:cs="仿宋_GB2312"/>
          <w:szCs w:val="32"/>
        </w:rPr>
        <w:t>市财政局负责监督管理专项资金，根据中央资金下达情况，配合市商务局按程序确定专项资金支持事项；负责审核市商务局年度建设计划、资金分配建议及绩效目标；会同市商务局及时分配下达资金和绩效目标，配合市商务局</w:t>
      </w:r>
      <w:r>
        <w:rPr>
          <w:rFonts w:hint="eastAsia" w:ascii="仿宋_GB2312" w:hAnsi="仿宋_GB2312" w:cs="仿宋_GB2312"/>
          <w:kern w:val="0"/>
          <w:szCs w:val="32"/>
        </w:rPr>
        <w:t>组织开展中期绩效评价、年度绩效自评和事后监督等工作。</w:t>
      </w:r>
    </w:p>
    <w:p w14:paraId="32CE4326">
      <w:pPr>
        <w:snapToGrid/>
        <w:spacing w:line="560" w:lineRule="exact"/>
        <w:ind w:firstLine="560" w:firstLineChars="0"/>
        <w:rPr>
          <w:rFonts w:hint="eastAsia" w:ascii="仿宋_GB2312" w:hAnsi="仿宋_GB2312" w:cs="仿宋_GB2312"/>
          <w:kern w:val="0"/>
          <w:szCs w:val="32"/>
        </w:rPr>
      </w:pPr>
      <w:r>
        <w:rPr>
          <w:rFonts w:hint="eastAsia" w:ascii="楷体_GB2312" w:hAnsi="楷体_GB2312" w:eastAsia="楷体_GB2312" w:cs="楷体_GB2312"/>
          <w:szCs w:val="32"/>
        </w:rPr>
        <w:t>（二）市商务局。</w:t>
      </w:r>
      <w:r>
        <w:rPr>
          <w:rFonts w:hint="eastAsia" w:ascii="仿宋_GB2312" w:hAnsi="仿宋_GB2312" w:cs="仿宋_GB2312"/>
          <w:kern w:val="0"/>
          <w:szCs w:val="32"/>
        </w:rPr>
        <w:t>市商务局负责建立完善泉州市建设消费新业态新模式新场景试点城市项目库，加强对县（市、区）开展的入库项目的指导督促工作。明确项目分年度建设目标、投资安排，提出专项资金分年度分配建议及绩效目标；牵头组织专项资金申报、复核工作；组织开展全过程绩效管理和监督，会同各项目主体做好事前绩效评估、中期绩效监控及年度绩效评价等工作，指导督促如期完成绩效目标。</w:t>
      </w:r>
    </w:p>
    <w:p w14:paraId="29658320">
      <w:pPr>
        <w:snapToGrid/>
        <w:spacing w:line="560" w:lineRule="exact"/>
        <w:ind w:firstLine="560" w:firstLineChars="0"/>
        <w:rPr>
          <w:rFonts w:hint="eastAsia" w:ascii="仿宋_GB2312" w:hAnsi="仿宋_GB2312" w:cs="仿宋_GB2312"/>
          <w:kern w:val="0"/>
          <w:szCs w:val="32"/>
        </w:rPr>
      </w:pPr>
      <w:r>
        <w:rPr>
          <w:rFonts w:hint="eastAsia" w:ascii="楷体_GB2312" w:hAnsi="楷体_GB2312" w:eastAsia="楷体_GB2312" w:cs="楷体_GB2312"/>
          <w:szCs w:val="32"/>
        </w:rPr>
        <w:t>（三）县（市、区）财政、商务主管部门。</w:t>
      </w:r>
      <w:r>
        <w:rPr>
          <w:rFonts w:hint="eastAsia" w:ascii="仿宋_GB2312" w:hAnsi="仿宋_GB2312" w:cs="仿宋_GB2312"/>
          <w:szCs w:val="32"/>
        </w:rPr>
        <w:t>各县（市、区）财政、商务部门</w:t>
      </w:r>
      <w:r>
        <w:rPr>
          <w:rFonts w:hint="eastAsia" w:ascii="仿宋_GB2312" w:hAnsi="仿宋_GB2312" w:cs="仿宋_GB2312"/>
          <w:kern w:val="0"/>
          <w:szCs w:val="32"/>
        </w:rPr>
        <w:t>根据职责分工，负责本地区资金申报、审核、拨付；根据年度绩效目标，及时指导推进项目建设，落实专项资金支持政策，并进行全过程绩效管理和监督。</w:t>
      </w:r>
    </w:p>
    <w:p w14:paraId="1DF70324">
      <w:pPr>
        <w:snapToGrid/>
        <w:spacing w:line="560" w:lineRule="exact"/>
        <w:ind w:firstLine="560" w:firstLineChars="0"/>
        <w:rPr>
          <w:rFonts w:hint="eastAsia" w:ascii="仿宋_GB2312" w:hAnsi="仿宋_GB2312" w:cs="仿宋_GB2312"/>
          <w:kern w:val="0"/>
          <w:szCs w:val="32"/>
        </w:rPr>
      </w:pPr>
      <w:r>
        <w:rPr>
          <w:rFonts w:hint="eastAsia" w:ascii="楷体_GB2312" w:hAnsi="楷体_GB2312" w:eastAsia="楷体_GB2312" w:cs="楷体_GB2312"/>
          <w:szCs w:val="32"/>
        </w:rPr>
        <w:t>（四）其他相关部门。</w:t>
      </w:r>
      <w:r>
        <w:rPr>
          <w:rFonts w:hint="eastAsia" w:ascii="仿宋_GB2312" w:hAnsi="仿宋_GB2312" w:cs="仿宋_GB2312"/>
          <w:kern w:val="0"/>
          <w:szCs w:val="32"/>
        </w:rPr>
        <w:t>市发改委、资规局、教育局、文旅局、体育局、工信局、生态环境局、农业农村局、林业局、市场监管局、民政局、住建局、城管局、交通运输局、邮政管理局按职责管理权限配合做好项目建设工作。</w:t>
      </w:r>
    </w:p>
    <w:p w14:paraId="16CEAEBE">
      <w:pPr>
        <w:snapToGrid/>
        <w:spacing w:line="560" w:lineRule="exact"/>
        <w:ind w:firstLine="560" w:firstLineChars="0"/>
        <w:rPr>
          <w:rFonts w:hint="eastAsia" w:ascii="仿宋_GB2312" w:hAnsi="仿宋_GB2312" w:cs="仿宋_GB2312"/>
          <w:kern w:val="0"/>
          <w:szCs w:val="32"/>
        </w:rPr>
      </w:pPr>
      <w:r>
        <w:rPr>
          <w:rFonts w:hint="eastAsia" w:ascii="楷体_GB2312" w:hAnsi="楷体_GB2312" w:eastAsia="楷体_GB2312" w:cs="楷体_GB2312"/>
          <w:szCs w:val="32"/>
        </w:rPr>
        <w:t>（五）资金申报、使用单位。</w:t>
      </w:r>
      <w:r>
        <w:rPr>
          <w:rFonts w:hint="eastAsia" w:ascii="仿宋_GB2312" w:hAnsi="仿宋_GB2312" w:cs="仿宋_GB2312"/>
          <w:kern w:val="0"/>
          <w:szCs w:val="32"/>
        </w:rPr>
        <w:t>承担真实申报、合规使用、有效管理的主体责任。</w:t>
      </w:r>
    </w:p>
    <w:p w14:paraId="62BCEAA9">
      <w:pPr>
        <w:snapToGrid/>
        <w:spacing w:line="560" w:lineRule="exact"/>
        <w:ind w:firstLine="0" w:firstLineChars="0"/>
        <w:jc w:val="center"/>
        <w:rPr>
          <w:rFonts w:hint="eastAsia" w:ascii="黑体" w:hAnsi="黑体" w:eastAsia="黑体" w:cs="黑体"/>
          <w:szCs w:val="32"/>
        </w:rPr>
      </w:pPr>
      <w:r>
        <w:rPr>
          <w:rFonts w:hint="eastAsia" w:ascii="黑体" w:hAnsi="黑体" w:eastAsia="黑体" w:cs="黑体"/>
          <w:szCs w:val="32"/>
        </w:rPr>
        <w:t>二、资金支持方式和范围</w:t>
      </w:r>
    </w:p>
    <w:p w14:paraId="39A2AC91">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第五条</w:t>
      </w:r>
      <w:r>
        <w:rPr>
          <w:rFonts w:hint="eastAsia" w:ascii="仿宋_GB2312" w:hAnsi="仿宋_GB2312" w:cs="仿宋_GB2312"/>
          <w:szCs w:val="32"/>
        </w:rPr>
        <w:t xml:space="preserve">  专项资金支持泉州市建设消费新业态新模式新场景试点城市项目的建设和运营，具体包括：</w:t>
      </w:r>
    </w:p>
    <w:p w14:paraId="426B415D">
      <w:pPr>
        <w:widowControl/>
        <w:wordWrap w:val="0"/>
        <w:adjustRightInd/>
        <w:snapToGrid/>
        <w:spacing w:line="560" w:lineRule="exact"/>
        <w:ind w:firstLine="640"/>
        <w:rPr>
          <w:rFonts w:hint="eastAsia" w:ascii="仿宋_GB2312" w:hAnsi="仿宋_GB2312" w:cs="仿宋_GB2312"/>
          <w:kern w:val="0"/>
          <w:szCs w:val="32"/>
        </w:rPr>
      </w:pPr>
      <w:r>
        <w:rPr>
          <w:rFonts w:hint="eastAsia" w:ascii="楷体_GB2312" w:hAnsi="楷体_GB2312" w:eastAsia="楷体_GB2312" w:cs="楷体_GB2312"/>
          <w:bCs/>
          <w:kern w:val="0"/>
          <w:szCs w:val="32"/>
        </w:rPr>
        <w:t>（一）支持健全首发经济服务体系。</w:t>
      </w:r>
      <w:r>
        <w:rPr>
          <w:rFonts w:hint="eastAsia" w:ascii="仿宋_GB2312" w:hAnsi="仿宋_GB2312" w:cs="仿宋_GB2312"/>
          <w:kern w:val="0"/>
          <w:szCs w:val="32"/>
        </w:rPr>
        <w:t>支持打造一批首发中心、首发经济集聚区，在重点商圈商街、创意园区、文化场所等打造多层次的新品发布平台载体，集聚一批传播、传媒、广告、策划等专业服务机构。支持具有引领性的国内外品牌开设高能级首店、旗舰店、概念店，并推动首店向总店、总部提升发展。支持时尚服饰、消费电子、美妆、潮玩、家居、汽车、智能终端、运动潮品以及服务消费等领域具有创新性、引领性的产品和服务举办首发首秀首展活动。支持有关展会开设首发专区、专场，集中展示新产品新服务新技术。</w:t>
      </w:r>
    </w:p>
    <w:p w14:paraId="0EAE2737">
      <w:pPr>
        <w:widowControl/>
        <w:wordWrap w:val="0"/>
        <w:adjustRightInd/>
        <w:snapToGrid/>
        <w:spacing w:line="560" w:lineRule="exact"/>
        <w:ind w:firstLine="640"/>
        <w:rPr>
          <w:rFonts w:hint="eastAsia" w:ascii="仿宋_GB2312" w:hAnsi="仿宋_GB2312" w:cs="仿宋_GB2312"/>
          <w:kern w:val="0"/>
          <w:szCs w:val="32"/>
        </w:rPr>
      </w:pPr>
      <w:r>
        <w:rPr>
          <w:rFonts w:hint="eastAsia" w:ascii="楷体_GB2312" w:hAnsi="楷体_GB2312" w:eastAsia="楷体_GB2312" w:cs="楷体_GB2312"/>
          <w:bCs/>
          <w:kern w:val="0"/>
          <w:szCs w:val="32"/>
        </w:rPr>
        <w:t>（二）支持创新多元化服务消费场景。</w:t>
      </w:r>
      <w:r>
        <w:rPr>
          <w:rFonts w:hint="eastAsia" w:ascii="仿宋_GB2312" w:hAnsi="仿宋_GB2312" w:cs="仿宋_GB2312"/>
          <w:kern w:val="0"/>
          <w:szCs w:val="32"/>
        </w:rPr>
        <w:t>支持业态创新、模式创新，推动人工智能、元宇宙等数字技术在文娱、旅游、健康、体育等领域的深化应用，打造一批商旅文体健融合的消费新场景。推动形成服务消费集聚区，支持重点商圈商街、文旅集聚区、传统购物型商超、废旧工业厂区向多元消费场景升级，拓展增加文化时尚、健康体育、艺术展览、主题社交、休闲娱乐等服务消费功能，推动重点赛事活动及演出“进商圈、进街区、进景区”。发展夜间经济，打造夜间文化和旅游消费集聚区。支持外贸优品展销中心、特色购物中心或购物区、外贸优品品牌集聚的特色商业街区优化升级，推广自主品牌+直供直销，打造具有特色和吸引力的消费场景。</w:t>
      </w:r>
    </w:p>
    <w:p w14:paraId="5758EC95">
      <w:pPr>
        <w:widowControl/>
        <w:wordWrap w:val="0"/>
        <w:adjustRightInd/>
        <w:snapToGrid/>
        <w:spacing w:line="560" w:lineRule="exact"/>
        <w:ind w:firstLine="640"/>
        <w:rPr>
          <w:rFonts w:hint="eastAsia" w:ascii="仿宋_GB2312" w:hAnsi="仿宋_GB2312" w:cs="仿宋_GB2312"/>
          <w:kern w:val="0"/>
          <w:szCs w:val="32"/>
        </w:rPr>
      </w:pPr>
      <w:r>
        <w:rPr>
          <w:rFonts w:hint="eastAsia" w:ascii="楷体_GB2312" w:hAnsi="楷体_GB2312" w:eastAsia="楷体_GB2312" w:cs="楷体_GB2312"/>
          <w:bCs/>
          <w:kern w:val="0"/>
          <w:szCs w:val="32"/>
        </w:rPr>
        <w:t>（三）支持优质消费资源与知名IP跨界联名。</w:t>
      </w:r>
      <w:r>
        <w:rPr>
          <w:rFonts w:hint="eastAsia" w:ascii="仿宋_GB2312" w:hAnsi="仿宋_GB2312" w:cs="仿宋_GB2312"/>
          <w:kern w:val="0"/>
          <w:szCs w:val="32"/>
        </w:rPr>
        <w:t>依托互联网数字娱乐平台和知识产权（IP）孵化平台，打通设计、开发、生产、营销、推广全产业链，开发系列周边产品，开设主题店、概念店等沉浸式消费空间，激发优质资源消费潜力。支持围绕本地特色文化，联动国潮动漫影视知识产权（IP）及文博场馆、非遗机构、历史文化名城等传统资源，推出一批影响范围广、社交属性强、创意新颖的综合性消费场景。支持老字号企业、新消费品牌企业依托本地优质消费资源，开设新店、旗舰店，开发推出“老牌新品”、“国货潮品”。引导相关企业加快转型升级，培育一批新型消费龙头企业。</w:t>
      </w:r>
    </w:p>
    <w:p w14:paraId="603F15D5">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第六条</w:t>
      </w:r>
      <w:r>
        <w:rPr>
          <w:rFonts w:hint="eastAsia" w:ascii="仿宋_GB2312" w:hAnsi="仿宋_GB2312" w:cs="仿宋_GB2312"/>
          <w:szCs w:val="32"/>
        </w:rPr>
        <w:t xml:space="preserve">  专项资金不得用于：</w:t>
      </w:r>
    </w:p>
    <w:p w14:paraId="241FD5BF">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（一）平衡本级财政预算及支付罚款、赞助、偿还债务；</w:t>
      </w:r>
    </w:p>
    <w:p w14:paraId="018FD0C3">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（二）财政补助单位人员经费（包括发放公务人员工资、奖金、劳务费、津补贴等）和工作经费（包括项目评审费用、审计费用、绩效评价费用、公务人员差旅费等）；</w:t>
      </w:r>
    </w:p>
    <w:p w14:paraId="104FE695">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（三）土地开发、征地拆迁、建设政府性楼堂馆所等以及其他国家明令禁止的支出项目；新建、扩建基础设施，新建商业综合体、各类古镇、纪念馆、博物馆等设施建设；一般性装修。</w:t>
      </w:r>
    </w:p>
    <w:p w14:paraId="13C3F498">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（四）政府部门主办、承办的活动，任何党政机关主办、承办或承担部分活动费用的展会、节庆、论坛活动。</w:t>
      </w:r>
    </w:p>
    <w:p w14:paraId="5E8C00B7">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（五）展会类活动（除试点通知中明确支持的首发首秀首展活动外）；</w:t>
      </w:r>
    </w:p>
    <w:p w14:paraId="7AFC50B2">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（六）发放消费券、优惠补贴、宣传推广等；</w:t>
      </w:r>
    </w:p>
    <w:p w14:paraId="652B978A">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（七）已获得中央或省级财政资金支持（含超长期特别国债、地方政府专项债券）的项目，不得重复申报本专项资金。</w:t>
      </w:r>
    </w:p>
    <w:p w14:paraId="55E75886">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（八）近三年存在严重违法违规行为的企业或拖欠应缴还财政资金的企业；</w:t>
      </w:r>
    </w:p>
    <w:p w14:paraId="0048042B">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（九）其他违反相关规定的支出。</w:t>
      </w:r>
    </w:p>
    <w:p w14:paraId="7C977C59">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第七条</w:t>
      </w:r>
      <w:r>
        <w:rPr>
          <w:rFonts w:hint="eastAsia" w:ascii="仿宋_GB2312" w:hAnsi="仿宋_GB2312" w:cs="仿宋_GB2312"/>
          <w:szCs w:val="32"/>
        </w:rPr>
        <w:t xml:space="preserve">  为充分发挥财政资金的引导撬动作用，提高资金使用效益，专项资金对列入泉州市建设消费新业态新模式新场景试点城市重点项目，采用“先建后补”的方式予以支持。</w:t>
      </w:r>
    </w:p>
    <w:p w14:paraId="1DD50C71">
      <w:pPr>
        <w:snapToGrid/>
        <w:spacing w:line="560" w:lineRule="exact"/>
        <w:ind w:firstLine="640"/>
        <w:rPr>
          <w:rFonts w:hint="eastAsia" w:ascii="仿宋_GB2312" w:hAnsi="仿宋_GB2312" w:cs="仿宋_GB2312"/>
          <w:szCs w:val="32"/>
          <w:u w:val="single"/>
        </w:rPr>
      </w:pPr>
      <w:r>
        <w:rPr>
          <w:rFonts w:hint="eastAsia" w:ascii="楷体_GB2312" w:hAnsi="楷体_GB2312" w:eastAsia="楷体_GB2312" w:cs="楷体_GB2312"/>
          <w:bCs/>
          <w:kern w:val="0"/>
          <w:szCs w:val="32"/>
        </w:rPr>
        <w:t>（一）投资类。</w:t>
      </w:r>
      <w:r>
        <w:rPr>
          <w:rFonts w:hint="eastAsia" w:ascii="仿宋_GB2312" w:hAnsi="仿宋_GB2312" w:cs="仿宋_GB2312"/>
          <w:szCs w:val="32"/>
        </w:rPr>
        <w:t>在完成预期成效的基础上，对项目在试点工作实施期内所发生的符合支持方向的费用（扣除可抵扣的增值税金额）给予最高不超过30%的奖补；对受益面广、实施效果好的公共服务平台项目，可适当提高支持比例，最高不超过50%。</w:t>
      </w:r>
      <w:r>
        <w:rPr>
          <w:rFonts w:hint="eastAsia" w:ascii="仿宋_GB2312" w:hAnsi="仿宋_GB2312" w:cs="仿宋_GB2312"/>
          <w:b/>
          <w:bCs/>
          <w:szCs w:val="32"/>
        </w:rPr>
        <w:t>健全首发经济服务体系方向，</w:t>
      </w:r>
      <w:r>
        <w:rPr>
          <w:rFonts w:hint="eastAsia" w:ascii="仿宋_GB2312" w:hAnsi="仿宋_GB2312" w:cs="仿宋_GB2312"/>
          <w:szCs w:val="32"/>
        </w:rPr>
        <w:t>单个项目在实施期内奖补总额最高不超过1000万元（其中开展首发活动单场最高不超过200万元）。</w:t>
      </w:r>
      <w:r>
        <w:rPr>
          <w:rFonts w:hint="eastAsia" w:ascii="仿宋_GB2312" w:hAnsi="仿宋_GB2312" w:cs="仿宋_GB2312"/>
          <w:b/>
          <w:bCs/>
          <w:szCs w:val="32"/>
        </w:rPr>
        <w:t>创新多元化服务消费场景方向，</w:t>
      </w:r>
      <w:r>
        <w:rPr>
          <w:rFonts w:hint="eastAsia" w:ascii="仿宋_GB2312" w:hAnsi="仿宋_GB2312" w:cs="仿宋_GB2312"/>
          <w:szCs w:val="32"/>
        </w:rPr>
        <w:t>单个项目在实施期内奖补总额最高不超过1500万元。</w:t>
      </w:r>
      <w:r>
        <w:rPr>
          <w:rFonts w:hint="eastAsia" w:ascii="仿宋_GB2312" w:hAnsi="仿宋_GB2312" w:cs="仿宋_GB2312"/>
          <w:b/>
          <w:bCs/>
          <w:szCs w:val="32"/>
        </w:rPr>
        <w:t>优质消费资源与知名IP跨界联名方向，</w:t>
      </w:r>
      <w:r>
        <w:rPr>
          <w:rFonts w:hint="eastAsia" w:ascii="仿宋_GB2312" w:hAnsi="仿宋_GB2312" w:cs="仿宋_GB2312"/>
          <w:szCs w:val="32"/>
        </w:rPr>
        <w:t>单个项目在实施期内奖补总额最高不超过800万元。</w:t>
      </w:r>
    </w:p>
    <w:p w14:paraId="06AD8891">
      <w:pPr>
        <w:snapToGrid/>
        <w:spacing w:line="560" w:lineRule="exact"/>
        <w:ind w:firstLine="640"/>
        <w:rPr>
          <w:rFonts w:hint="eastAsia" w:ascii="仿宋_GB2312" w:hAnsi="仿宋_GB2312" w:cs="仿宋_GB2312"/>
          <w:szCs w:val="32"/>
        </w:rPr>
      </w:pPr>
      <w:r>
        <w:rPr>
          <w:rFonts w:hint="eastAsia" w:ascii="楷体_GB2312" w:hAnsi="楷体_GB2312" w:eastAsia="楷体_GB2312" w:cs="楷体_GB2312"/>
          <w:bCs/>
          <w:kern w:val="0"/>
          <w:szCs w:val="32"/>
        </w:rPr>
        <w:t>（二）奖励类。</w:t>
      </w:r>
      <w:r>
        <w:rPr>
          <w:rFonts w:hint="eastAsia" w:ascii="仿宋_GB2312" w:hAnsi="仿宋_GB2312" w:cs="仿宋_GB2312"/>
          <w:szCs w:val="32"/>
        </w:rPr>
        <w:t>1.首发首秀活动。支持首发经济实施主体引入国内外品牌、原创品牌及商业运营商等有关单位举办具有一定规模和影响力的首发、首秀活动，符合支持方向的首发首秀活动，按照活动等级、数量予以奖励，其中全球首发首秀活动不超过100万元/场、亚洲首发首秀活动不超过50万元/场、中国（内地）首发首秀活动不超过20万元/场。单个实施主体奖励最高不超过500万元。</w:t>
      </w:r>
    </w:p>
    <w:p w14:paraId="372A44C3">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2.首店开业。对首发经济实施主体引入符合支持方向的首店，并承诺达限纳统的企业，按照首店能级、数量予以奖励。其中全球首店不超过200万元/家，亚洲首店不超过100万元/家，中国（内地）首店不超过30万元/家，福建首店不超过10万元/家，泉州首店不超过5万元/家。单个实施主体奖励最高不超过500万元。</w:t>
      </w:r>
    </w:p>
    <w:p w14:paraId="5B75ED65">
      <w:pPr>
        <w:snapToGrid/>
        <w:spacing w:line="560" w:lineRule="exact"/>
        <w:ind w:firstLine="640"/>
        <w:rPr>
          <w:rFonts w:hint="eastAsia" w:ascii="仿宋_GB2312" w:hAnsi="仿宋_GB2312" w:cs="仿宋_GB2312"/>
          <w:szCs w:val="32"/>
          <w:u w:val="single"/>
        </w:rPr>
      </w:pPr>
      <w:r>
        <w:rPr>
          <w:rFonts w:hint="eastAsia" w:ascii="仿宋_GB2312" w:hAnsi="仿宋_GB2312" w:cs="仿宋_GB2312"/>
          <w:szCs w:val="32"/>
        </w:rPr>
        <w:t>3.互联网平台数字IP、自主知识产权IP孵化并实现商业化运营，按产生收入的10%奖励，单个IP不超过50万元，单个平台不超过500万元。</w:t>
      </w:r>
    </w:p>
    <w:p w14:paraId="13145E3B">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第八条</w:t>
      </w:r>
      <w:r>
        <w:rPr>
          <w:rFonts w:hint="eastAsia" w:ascii="仿宋_GB2312" w:hAnsi="仿宋_GB2312" w:cs="仿宋_GB2312"/>
          <w:szCs w:val="32"/>
        </w:rPr>
        <w:t xml:space="preserve">  项目奖补金额在中央下达资金规模内进行分配，若奖补金额超出中央下达的资金规模，项目补助金额将等比例予以下调。</w:t>
      </w:r>
    </w:p>
    <w:p w14:paraId="6D37C3ED">
      <w:pPr>
        <w:pStyle w:val="2"/>
        <w:ind w:firstLine="640"/>
      </w:pPr>
    </w:p>
    <w:p w14:paraId="1B3B9D7B">
      <w:pPr>
        <w:snapToGrid/>
        <w:spacing w:line="560" w:lineRule="exact"/>
        <w:ind w:firstLine="0" w:firstLineChars="0"/>
        <w:jc w:val="center"/>
        <w:rPr>
          <w:rFonts w:hint="eastAsia" w:ascii="黑体" w:hAnsi="黑体" w:eastAsia="黑体" w:cs="黑体"/>
          <w:szCs w:val="32"/>
        </w:rPr>
      </w:pPr>
      <w:r>
        <w:rPr>
          <w:rFonts w:hint="eastAsia" w:ascii="黑体" w:hAnsi="黑体" w:eastAsia="黑体" w:cs="黑体"/>
          <w:szCs w:val="32"/>
        </w:rPr>
        <w:t>三、资金申报程序和绩效评价</w:t>
      </w:r>
    </w:p>
    <w:p w14:paraId="2CFED2A9">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第九条</w:t>
      </w:r>
      <w:r>
        <w:rPr>
          <w:rFonts w:hint="eastAsia" w:ascii="仿宋_GB2312" w:hAnsi="仿宋_GB2312" w:cs="仿宋_GB2312"/>
          <w:szCs w:val="32"/>
        </w:rPr>
        <w:t xml:space="preserve">  专项资金在福建省财政厅、商务厅下达至我市后，采用项目法方式进行分配，结合项目建设目标及进度情况，通过预下达和项目核定方式进行拨付，项目资金核定前须经市政府批准同意并报备福建省财政厅、商务厅。</w:t>
      </w:r>
    </w:p>
    <w:p w14:paraId="3C2552F7">
      <w:pPr>
        <w:snapToGrid/>
        <w:spacing w:line="560" w:lineRule="exact"/>
        <w:ind w:firstLine="643"/>
        <w:rPr>
          <w:rFonts w:hint="eastAsia" w:ascii="仿宋_GB2312" w:hAnsi="仿宋_GB2312" w:cs="仿宋_GB2312"/>
          <w:strike/>
          <w:szCs w:val="32"/>
        </w:rPr>
      </w:pPr>
      <w:r>
        <w:rPr>
          <w:rFonts w:hint="eastAsia" w:ascii="仿宋_GB2312" w:hAnsi="仿宋_GB2312" w:cs="仿宋_GB2312"/>
          <w:b/>
          <w:bCs/>
          <w:szCs w:val="32"/>
        </w:rPr>
        <w:t>第十条</w:t>
      </w:r>
      <w:r>
        <w:rPr>
          <w:rFonts w:hint="eastAsia" w:ascii="仿宋_GB2312" w:hAnsi="仿宋_GB2312" w:cs="仿宋_GB2312"/>
          <w:szCs w:val="32"/>
        </w:rPr>
        <w:t xml:space="preserve">  市商务局根据各县（市、区）项目主体项目建设及实施情况，进一步明确各项指标任务，细化下达两年总体目标及分年度绩效目标，并抄送福建省商务厅。</w:t>
      </w:r>
    </w:p>
    <w:p w14:paraId="7FFA171E">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县（市、区）商务、财政部门按照部门职责组织属地项目主体按要求报送两年总体目标及分年度绩效目标并开展绩效评价。及时指导推进项目建设实施，开展项目验收，确保项目进度序时推进。</w:t>
      </w:r>
    </w:p>
    <w:p w14:paraId="2DF779E6">
      <w:pPr>
        <w:numPr>
          <w:ilvl w:val="0"/>
          <w:numId w:val="1"/>
        </w:num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 xml:space="preserve"> 项目申报审核程序如下：</w:t>
      </w:r>
    </w:p>
    <w:p w14:paraId="01DBEAB0">
      <w:pPr>
        <w:numPr>
          <w:ilvl w:val="0"/>
          <w:numId w:val="2"/>
        </w:numPr>
        <w:snapToGrid/>
        <w:spacing w:line="560" w:lineRule="exact"/>
        <w:ind w:firstLine="640"/>
        <w:rPr>
          <w:rFonts w:hint="eastAsia" w:ascii="仿宋_GB2312" w:hAnsi="仿宋_GB2312" w:cs="仿宋_GB2312"/>
          <w:szCs w:val="32"/>
        </w:rPr>
      </w:pPr>
      <w:r>
        <w:rPr>
          <w:rFonts w:hint="eastAsia" w:ascii="楷体_GB2312" w:hAnsi="楷体_GB2312" w:eastAsia="楷体_GB2312" w:cs="楷体_GB2312"/>
          <w:szCs w:val="32"/>
        </w:rPr>
        <w:t>发布通知。</w:t>
      </w:r>
      <w:r>
        <w:rPr>
          <w:rFonts w:hint="eastAsia" w:ascii="仿宋_GB2312" w:hAnsi="仿宋_GB2312" w:cs="仿宋_GB2312"/>
          <w:szCs w:val="32"/>
        </w:rPr>
        <w:t>市商务局按照本资金管理实施细则要求，会同市财政局发布项目申报通知（指南），细化相关要求，每半年组织一次资金申报审核。</w:t>
      </w:r>
    </w:p>
    <w:p w14:paraId="21EC5AAB">
      <w:pPr>
        <w:numPr>
          <w:ilvl w:val="0"/>
          <w:numId w:val="2"/>
        </w:numPr>
        <w:snapToGrid/>
        <w:spacing w:line="560" w:lineRule="exact"/>
        <w:ind w:firstLine="640"/>
        <w:rPr>
          <w:rFonts w:hint="eastAsia" w:ascii="仿宋_GB2312" w:hAnsi="仿宋_GB2312" w:cs="仿宋_GB2312"/>
          <w:szCs w:val="32"/>
        </w:rPr>
      </w:pPr>
      <w:r>
        <w:rPr>
          <w:rFonts w:hint="eastAsia" w:ascii="楷体_GB2312" w:hAnsi="楷体_GB2312" w:eastAsia="楷体_GB2312" w:cs="楷体_GB2312"/>
          <w:szCs w:val="32"/>
        </w:rPr>
        <w:t>项目初审。</w:t>
      </w:r>
      <w:r>
        <w:rPr>
          <w:rFonts w:hint="eastAsia" w:ascii="仿宋_GB2312" w:hAnsi="仿宋_GB2312" w:cs="仿宋_GB2312"/>
          <w:szCs w:val="32"/>
        </w:rPr>
        <w:t>县（市、区）商务部门负责属地项目主体资金申报审核及聘请会计师事务所等第三方机构开展合规审计，并会同财政部门联合报告初审情况。市属国有企业按照注册地向属地商务、财政部门提交申报材料。</w:t>
      </w:r>
    </w:p>
    <w:p w14:paraId="10846F4B">
      <w:pPr>
        <w:numPr>
          <w:ilvl w:val="0"/>
          <w:numId w:val="2"/>
        </w:numPr>
        <w:snapToGrid/>
        <w:spacing w:line="560" w:lineRule="exact"/>
        <w:ind w:firstLine="640"/>
        <w:rPr>
          <w:rFonts w:hint="eastAsia" w:ascii="仿宋_GB2312" w:hAnsi="仿宋_GB2312" w:cs="仿宋_GB2312"/>
          <w:szCs w:val="32"/>
        </w:rPr>
      </w:pPr>
      <w:r>
        <w:rPr>
          <w:rFonts w:hint="eastAsia" w:ascii="楷体_GB2312" w:hAnsi="楷体_GB2312" w:eastAsia="楷体_GB2312" w:cs="楷体_GB2312"/>
          <w:szCs w:val="32"/>
        </w:rPr>
        <w:t>项目复核。</w:t>
      </w:r>
      <w:r>
        <w:rPr>
          <w:rFonts w:hint="eastAsia" w:ascii="仿宋_GB2312" w:hAnsi="仿宋_GB2312" w:cs="仿宋_GB2312"/>
          <w:szCs w:val="32"/>
        </w:rPr>
        <w:t>市商务局组织开展资金复核。审核结束后将资金审核意见提交市商务局党组会研究。</w:t>
      </w:r>
    </w:p>
    <w:p w14:paraId="5EA16BDC">
      <w:pPr>
        <w:numPr>
          <w:ilvl w:val="0"/>
          <w:numId w:val="2"/>
        </w:numPr>
        <w:snapToGrid/>
        <w:spacing w:line="560" w:lineRule="exact"/>
        <w:ind w:firstLine="640"/>
        <w:rPr>
          <w:rFonts w:hint="eastAsia" w:ascii="仿宋_GB2312" w:hAnsi="仿宋_GB2312" w:cs="仿宋_GB2312"/>
          <w:szCs w:val="32"/>
        </w:rPr>
      </w:pPr>
      <w:r>
        <w:rPr>
          <w:rFonts w:hint="eastAsia" w:ascii="楷体_GB2312" w:hAnsi="楷体_GB2312" w:eastAsia="楷体_GB2312" w:cs="楷体_GB2312"/>
          <w:szCs w:val="32"/>
        </w:rPr>
        <w:t>项目公示。</w:t>
      </w:r>
      <w:r>
        <w:rPr>
          <w:rFonts w:hint="eastAsia" w:ascii="仿宋_GB2312" w:hAnsi="仿宋_GB2312" w:cs="仿宋_GB2312"/>
          <w:szCs w:val="32"/>
        </w:rPr>
        <w:t>经研究通过的资金项目应当向社会公示，公示期为5个工作日。</w:t>
      </w:r>
    </w:p>
    <w:p w14:paraId="56C1C657">
      <w:pPr>
        <w:numPr>
          <w:ilvl w:val="0"/>
          <w:numId w:val="2"/>
        </w:numPr>
        <w:snapToGrid/>
        <w:spacing w:line="560" w:lineRule="exact"/>
        <w:ind w:firstLine="640"/>
        <w:rPr>
          <w:rFonts w:hint="eastAsia" w:ascii="仿宋_GB2312" w:hAnsi="仿宋_GB2312" w:cs="仿宋_GB2312"/>
          <w:szCs w:val="32"/>
        </w:rPr>
      </w:pPr>
      <w:r>
        <w:rPr>
          <w:rFonts w:hint="eastAsia" w:ascii="楷体_GB2312" w:hAnsi="楷体_GB2312" w:eastAsia="楷体_GB2312" w:cs="楷体_GB2312"/>
          <w:szCs w:val="32"/>
        </w:rPr>
        <w:t>资金拨付。</w:t>
      </w:r>
      <w:r>
        <w:rPr>
          <w:rFonts w:hint="eastAsia" w:ascii="仿宋_GB2312" w:hAnsi="仿宋_GB2312" w:cs="仿宋_GB2312"/>
          <w:szCs w:val="32"/>
        </w:rPr>
        <w:t>对于公示无异议的项目，市商务局拟定资金分配方案，会同市财政局上报市政府审定，并经市政府同意后核定下达项目资金。</w:t>
      </w:r>
    </w:p>
    <w:p w14:paraId="1049F84A">
      <w:pPr>
        <w:snapToGrid/>
        <w:spacing w:line="560" w:lineRule="exact"/>
        <w:ind w:firstLine="643"/>
        <w:rPr>
          <w:rFonts w:hint="eastAsia" w:ascii="仿宋_GB2312" w:hAnsi="仿宋_GB2312" w:cs="仿宋_GB2312"/>
        </w:rPr>
      </w:pPr>
      <w:r>
        <w:rPr>
          <w:rFonts w:hint="eastAsia" w:ascii="仿宋_GB2312" w:hAnsi="仿宋_GB2312" w:cs="仿宋_GB2312"/>
          <w:b/>
          <w:bCs/>
          <w:szCs w:val="32"/>
        </w:rPr>
        <w:t>第十二条</w:t>
      </w:r>
      <w:r>
        <w:rPr>
          <w:rFonts w:hint="eastAsia" w:ascii="仿宋_GB2312" w:hAnsi="仿宋_GB2312" w:cs="仿宋_GB2312"/>
          <w:szCs w:val="32"/>
        </w:rPr>
        <w:t xml:space="preserve">  专项资金实施全过程预算绩效管理。市商务局、市财政局负责组织县（市、区）及项目主体强化绩效目标管理，做好绩效运行监控和绩效评价，定期向福建省商务厅、财政厅报送绩效目标完成情况。加强绩效评价结果运用，根据每年度各项目绩效目标完成情况，确定下一年度项目资金分配方案，确保示范项目建设有序推进。</w:t>
      </w:r>
    </w:p>
    <w:p w14:paraId="3AA26093">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市商务局、财政局于每年12月底前完成专项资金阶段性核定拨付工作，并向福建省商务厅、财政厅报送绩效自评材料。绩效自评材料包括试点目标完成情况、重点项目实施进展及成效、资金安排使用等动态信息。</w:t>
      </w:r>
    </w:p>
    <w:p w14:paraId="1DF46F58">
      <w:pPr>
        <w:numPr>
          <w:ilvl w:val="0"/>
          <w:numId w:val="3"/>
        </w:numPr>
        <w:snapToGrid/>
        <w:spacing w:line="560" w:lineRule="exact"/>
        <w:ind w:firstLine="0" w:firstLineChars="0"/>
        <w:jc w:val="center"/>
        <w:rPr>
          <w:rFonts w:hint="eastAsia" w:ascii="黑体" w:hAnsi="黑体" w:eastAsia="黑体" w:cs="黑体"/>
          <w:szCs w:val="32"/>
        </w:rPr>
      </w:pPr>
      <w:r>
        <w:rPr>
          <w:rFonts w:hint="eastAsia" w:ascii="黑体" w:hAnsi="黑体" w:eastAsia="黑体" w:cs="黑体"/>
          <w:szCs w:val="32"/>
        </w:rPr>
        <w:t>项目入库及退出</w:t>
      </w:r>
    </w:p>
    <w:p w14:paraId="20214F8F">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第十三条</w:t>
      </w:r>
      <w:r>
        <w:rPr>
          <w:rFonts w:hint="eastAsia" w:ascii="仿宋_GB2312" w:hAnsi="仿宋_GB2312" w:cs="仿宋_GB2312"/>
          <w:szCs w:val="32"/>
        </w:rPr>
        <w:t xml:space="preserve">  试点项目实行项目库分级管理制度，设置</w:t>
      </w:r>
      <w:r>
        <w:rPr>
          <w:rFonts w:hint="eastAsia" w:ascii="仿宋_GB2312" w:hAnsi="仿宋_GB2312" w:cs="仿宋_GB2312"/>
          <w:szCs w:val="32"/>
          <w:lang w:eastAsia="zh-CN"/>
        </w:rPr>
        <w:t>支持</w:t>
      </w:r>
      <w:r>
        <w:rPr>
          <w:rFonts w:hint="eastAsia" w:ascii="仿宋_GB2312" w:hAnsi="仿宋_GB2312" w:cs="仿宋_GB2312"/>
          <w:szCs w:val="32"/>
        </w:rPr>
        <w:t>项目库和</w:t>
      </w:r>
      <w:r>
        <w:rPr>
          <w:rFonts w:hint="eastAsia" w:ascii="仿宋_GB2312" w:hAnsi="仿宋_GB2312" w:cs="仿宋_GB2312"/>
          <w:szCs w:val="32"/>
          <w:lang w:eastAsia="zh-CN"/>
        </w:rPr>
        <w:t>储备</w:t>
      </w:r>
      <w:r>
        <w:rPr>
          <w:rFonts w:hint="eastAsia" w:ascii="仿宋_GB2312" w:hAnsi="仿宋_GB2312" w:cs="仿宋_GB2312"/>
          <w:szCs w:val="32"/>
        </w:rPr>
        <w:t>项目库。</w:t>
      </w:r>
      <w:r>
        <w:rPr>
          <w:rFonts w:hint="eastAsia" w:ascii="仿宋_GB2312" w:hAnsi="仿宋_GB2312" w:cs="仿宋_GB2312"/>
          <w:szCs w:val="32"/>
          <w:lang w:eastAsia="zh-CN"/>
        </w:rPr>
        <w:t>支持</w:t>
      </w:r>
      <w:r>
        <w:rPr>
          <w:rFonts w:hint="eastAsia" w:ascii="仿宋_GB2312" w:hAnsi="仿宋_GB2312" w:cs="仿宋_GB2312"/>
          <w:szCs w:val="32"/>
        </w:rPr>
        <w:t>项目库是指经评审、公示后确定纳入专项资金支持范围的项目库。</w:t>
      </w:r>
      <w:r>
        <w:rPr>
          <w:rFonts w:hint="eastAsia" w:ascii="仿宋_GB2312" w:hAnsi="仿宋_GB2312" w:cs="仿宋_GB2312"/>
          <w:szCs w:val="32"/>
          <w:lang w:eastAsia="zh-CN"/>
        </w:rPr>
        <w:t>储备</w:t>
      </w:r>
      <w:r>
        <w:rPr>
          <w:rFonts w:hint="eastAsia" w:ascii="仿宋_GB2312" w:hAnsi="仿宋_GB2312" w:cs="仿宋_GB2312"/>
          <w:szCs w:val="32"/>
        </w:rPr>
        <w:t>项目库是指尚在培育中的、符合支持方向但尚未纳入支持计划的项目库。</w:t>
      </w:r>
    </w:p>
    <w:p w14:paraId="4049F16E">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第十四条</w:t>
      </w:r>
      <w:r>
        <w:rPr>
          <w:rFonts w:hint="eastAsia" w:ascii="仿宋_GB2312" w:hAnsi="仿宋_GB2312" w:cs="仿宋_GB2312"/>
          <w:szCs w:val="32"/>
        </w:rPr>
        <w:t xml:space="preserve">  项目入库。市商务局经公开征集、主体申报、县区推荐等程序，遴选建立项目库，并报市政府研究确认。市商务局通过政府购买服务的方式委托第三方服务机构，会同各县（市、区）商务部门对项目实施动态跟踪反馈和资料评估复核。承担项目跟踪的第三方机构不得同时承担项目实施主体的绩效评价、财务管理等服务工作。</w:t>
      </w:r>
    </w:p>
    <w:p w14:paraId="3EFE69FE">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第十四条</w:t>
      </w:r>
      <w:r>
        <w:rPr>
          <w:rFonts w:hint="eastAsia" w:ascii="仿宋_GB2312" w:hAnsi="仿宋_GB2312" w:cs="仿宋_GB2312"/>
          <w:szCs w:val="32"/>
        </w:rPr>
        <w:t xml:space="preserve">  项目调整。入库项目在实施过程中因政策变化、不可抗力及其他原因导致项目发生变更或退出的，由项目单位向属地牵头部门提交书面申请，详细说明变更或退出的事由，属地牵头部门报市商务局，市商务局审核后按程序予以调整。</w:t>
      </w:r>
    </w:p>
    <w:p w14:paraId="463411AB">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第十五条</w:t>
      </w:r>
      <w:r>
        <w:rPr>
          <w:rFonts w:hint="eastAsia" w:ascii="仿宋_GB2312" w:hAnsi="仿宋_GB2312" w:cs="仿宋_GB2312"/>
          <w:szCs w:val="32"/>
        </w:rPr>
        <w:t xml:space="preserve">  项目退出。除不可抗力因素造成的影响以外，有下列情形之一，项目终止实施，项目实施主体应主动退回已拨付的支持资金：</w:t>
      </w:r>
    </w:p>
    <w:p w14:paraId="147B5199">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1.存在违法、重大欺骗、重大事实隐瞒、提供虚假凭证等行为的；</w:t>
      </w:r>
    </w:p>
    <w:p w14:paraId="437A4FC1">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2.未经项目调整程序，擅自变更项目建设内容或投资额，申报项目出现撤项、烂尾等情形的；</w:t>
      </w:r>
    </w:p>
    <w:p w14:paraId="5781B985">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3.未按要求整改问题的；</w:t>
      </w:r>
    </w:p>
    <w:p w14:paraId="558350AA">
      <w:pPr>
        <w:snapToGrid/>
        <w:spacing w:line="560" w:lineRule="exact"/>
        <w:ind w:firstLine="640"/>
        <w:rPr>
          <w:rFonts w:hint="eastAsia" w:ascii="仿宋_GB2312" w:hAnsi="仿宋_GB2312" w:cs="仿宋_GB2312"/>
          <w:szCs w:val="32"/>
        </w:rPr>
      </w:pPr>
      <w:r>
        <w:rPr>
          <w:rFonts w:hint="eastAsia" w:ascii="仿宋_GB2312" w:hAnsi="仿宋_GB2312" w:cs="仿宋_GB2312"/>
          <w:szCs w:val="32"/>
        </w:rPr>
        <w:t>4.项目单位主动申请退出的；</w:t>
      </w:r>
    </w:p>
    <w:p w14:paraId="6FC8CAB7">
      <w:pPr>
        <w:snapToGrid/>
        <w:spacing w:line="560" w:lineRule="exact"/>
        <w:ind w:firstLine="640"/>
        <w:rPr>
          <w:rFonts w:hint="eastAsia" w:ascii="仿宋_GB2312" w:hAnsi="仿宋_GB2312" w:cs="仿宋_GB2312"/>
          <w:b/>
          <w:bCs/>
          <w:szCs w:val="32"/>
        </w:rPr>
      </w:pPr>
      <w:r>
        <w:rPr>
          <w:rFonts w:hint="eastAsia" w:ascii="仿宋_GB2312" w:hAnsi="仿宋_GB2312" w:cs="仿宋_GB2312"/>
          <w:szCs w:val="32"/>
        </w:rPr>
        <w:t>5.其他应当退出的情形。</w:t>
      </w:r>
    </w:p>
    <w:p w14:paraId="7F0E2D57">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第十六条</w:t>
      </w:r>
      <w:r>
        <w:rPr>
          <w:rFonts w:hint="eastAsia" w:ascii="仿宋_GB2312" w:hAnsi="仿宋_GB2312" w:cs="仿宋_GB2312"/>
          <w:szCs w:val="32"/>
        </w:rPr>
        <w:t xml:space="preserve">  项目中期评估。根据项目申报的绩效目标，市商务局于2026年下半年组织开展中期评估，着重考核绩效目标的完成情况、资金的执行情况等。对在中期评估中被“红灯”预警的项目，给予3个月的整改期限，若多次督促仍未达到整改要求，予以退库，并调减收回未核定的项目资金。</w:t>
      </w:r>
    </w:p>
    <w:p w14:paraId="5635CB68">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第十七条</w:t>
      </w:r>
      <w:r>
        <w:rPr>
          <w:rFonts w:hint="eastAsia" w:ascii="仿宋_GB2312" w:hAnsi="仿宋_GB2312" w:cs="仿宋_GB2312"/>
          <w:szCs w:val="32"/>
        </w:rPr>
        <w:t xml:space="preserve">  项目验收。项目实施主体应在项目竣工后两个月内向属地商务主管部门提出项目验收申请（其中2027年6月建设完成项目应在20天内提出）。各县区商务主管部门对验收申请进行初步把关，符合验收条件的报请市商务局组织专家或委托第三方机构对项目完成情况进行验收。验收内容主要包括：项目计划投资和建设任务完成情况，资金使用和管理情况，项目的社会效益、经济效益等绩效目标完成情况是否达到申报目标，对消费新业态新模式新场景起到的带动引领作用等。在资金核定前应按批次将项目验收情况报市政府研究批准，并报省商务厅和省财政厅备案。验收不合格的项目，项目单位应在30个工作日内完成整改，整改仍不合格的，收回已拨付资金。对已核定的资金如在检查中发现未达到补助条件或整改要求，应重新核定，超出核定部分由项目属地商务部门会同财政部门负责收回。</w:t>
      </w:r>
    </w:p>
    <w:p w14:paraId="6D7AFF93">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第十八条</w:t>
      </w:r>
      <w:r>
        <w:rPr>
          <w:rFonts w:hint="eastAsia" w:ascii="仿宋_GB2312" w:hAnsi="仿宋_GB2312" w:cs="仿宋_GB2312"/>
          <w:szCs w:val="32"/>
        </w:rPr>
        <w:t xml:space="preserve">  及时跟进项目进度及成效，</w:t>
      </w:r>
      <w:r>
        <w:rPr>
          <w:rFonts w:hint="eastAsia" w:ascii="仿宋_GB2312" w:hAnsi="仿宋_GB2312" w:cs="仿宋_GB2312"/>
          <w:szCs w:val="32"/>
          <w:lang w:eastAsia="zh-CN"/>
        </w:rPr>
        <w:t>支持</w:t>
      </w:r>
      <w:r>
        <w:rPr>
          <w:rFonts w:hint="eastAsia" w:ascii="仿宋_GB2312" w:hAnsi="仿宋_GB2312" w:cs="仿宋_GB2312"/>
          <w:szCs w:val="32"/>
        </w:rPr>
        <w:t>项目根据试点工作实施进度和项目可行性实施动态管理，同步推进</w:t>
      </w:r>
      <w:r>
        <w:rPr>
          <w:rFonts w:hint="eastAsia" w:ascii="仿宋_GB2312" w:hAnsi="仿宋_GB2312" w:cs="仿宋_GB2312"/>
          <w:szCs w:val="32"/>
          <w:lang w:eastAsia="zh-CN"/>
        </w:rPr>
        <w:t>储备</w:t>
      </w:r>
      <w:r>
        <w:rPr>
          <w:rFonts w:hint="eastAsia" w:ascii="仿宋_GB2312" w:hAnsi="仿宋_GB2312" w:cs="仿宋_GB2312"/>
          <w:szCs w:val="32"/>
        </w:rPr>
        <w:t>项目的培育工作。若</w:t>
      </w:r>
      <w:r>
        <w:rPr>
          <w:rFonts w:hint="eastAsia" w:ascii="仿宋_GB2312" w:hAnsi="仿宋_GB2312" w:cs="仿宋_GB2312"/>
          <w:szCs w:val="32"/>
          <w:lang w:eastAsia="zh-CN"/>
        </w:rPr>
        <w:t>支持</w:t>
      </w:r>
      <w:r>
        <w:rPr>
          <w:rFonts w:hint="eastAsia" w:ascii="仿宋_GB2312" w:hAnsi="仿宋_GB2312" w:cs="仿宋_GB2312"/>
          <w:szCs w:val="32"/>
        </w:rPr>
        <w:t>项目建设和资金使用进度不及预期，可按程序予以退出，并优先将</w:t>
      </w:r>
      <w:r>
        <w:rPr>
          <w:rFonts w:hint="eastAsia" w:ascii="仿宋_GB2312" w:hAnsi="仿宋_GB2312" w:cs="仿宋_GB2312"/>
          <w:szCs w:val="32"/>
          <w:lang w:eastAsia="zh-CN"/>
        </w:rPr>
        <w:t>储备</w:t>
      </w:r>
      <w:r>
        <w:rPr>
          <w:rFonts w:hint="eastAsia" w:ascii="仿宋_GB2312" w:hAnsi="仿宋_GB2312" w:cs="仿宋_GB2312"/>
          <w:szCs w:val="32"/>
        </w:rPr>
        <w:t>项目纳入资金补助递补范围，原则上实施期内</w:t>
      </w:r>
      <w:r>
        <w:rPr>
          <w:rFonts w:hint="eastAsia" w:ascii="仿宋_GB2312" w:hAnsi="仿宋_GB2312" w:cs="仿宋_GB2312"/>
          <w:szCs w:val="32"/>
          <w:lang w:eastAsia="zh-CN"/>
        </w:rPr>
        <w:t>储备</w:t>
      </w:r>
      <w:r>
        <w:rPr>
          <w:rFonts w:hint="eastAsia" w:ascii="仿宋_GB2312" w:hAnsi="仿宋_GB2312" w:cs="仿宋_GB2312"/>
          <w:szCs w:val="32"/>
        </w:rPr>
        <w:t>项目仅有一次入库机会。</w:t>
      </w:r>
      <w:r>
        <w:rPr>
          <w:rFonts w:hint="eastAsia" w:ascii="仿宋_GB2312" w:hAnsi="仿宋_GB2312" w:cs="仿宋_GB2312"/>
          <w:szCs w:val="32"/>
          <w:lang w:eastAsia="zh-CN"/>
        </w:rPr>
        <w:t>储备</w:t>
      </w:r>
      <w:r>
        <w:rPr>
          <w:rFonts w:hint="eastAsia" w:ascii="仿宋_GB2312" w:hAnsi="仿宋_GB2312" w:cs="仿宋_GB2312"/>
          <w:szCs w:val="32"/>
        </w:rPr>
        <w:t>项目调整涉及的“三新”投资金额不超过全部项目“三新”投资金额的30%，由市商务局、市财政局报市政府审批并报备省商务厅、省财政厅。</w:t>
      </w:r>
    </w:p>
    <w:p w14:paraId="067ACE0A">
      <w:pPr>
        <w:pStyle w:val="2"/>
        <w:ind w:firstLine="640"/>
      </w:pPr>
    </w:p>
    <w:p w14:paraId="5CE74900">
      <w:pPr>
        <w:snapToGrid/>
        <w:spacing w:line="560" w:lineRule="exact"/>
        <w:ind w:firstLine="0" w:firstLineChars="0"/>
        <w:jc w:val="center"/>
        <w:rPr>
          <w:rFonts w:hint="eastAsia" w:ascii="黑体" w:hAnsi="黑体" w:eastAsia="黑体" w:cs="黑体"/>
          <w:szCs w:val="32"/>
        </w:rPr>
      </w:pPr>
      <w:r>
        <w:rPr>
          <w:rFonts w:hint="eastAsia" w:ascii="黑体" w:hAnsi="黑体" w:eastAsia="黑体" w:cs="黑体"/>
          <w:szCs w:val="32"/>
        </w:rPr>
        <w:t>五、监督检查</w:t>
      </w:r>
    </w:p>
    <w:p w14:paraId="3187EE34">
      <w:pPr>
        <w:snapToGrid/>
        <w:spacing w:line="560" w:lineRule="exact"/>
        <w:ind w:firstLine="643"/>
        <w:rPr>
          <w:rFonts w:hint="eastAsia" w:ascii="仿宋_GB2312" w:hAnsi="仿宋_GB2312" w:cs="仿宋_GB2312"/>
          <w:szCs w:val="40"/>
        </w:rPr>
      </w:pPr>
      <w:r>
        <w:rPr>
          <w:rFonts w:hint="eastAsia" w:ascii="仿宋_GB2312" w:hAnsi="仿宋_GB2312" w:cs="仿宋_GB2312"/>
          <w:b/>
          <w:bCs/>
          <w:szCs w:val="32"/>
        </w:rPr>
        <w:t>第十九条</w:t>
      </w:r>
      <w:r>
        <w:rPr>
          <w:rFonts w:hint="eastAsia" w:ascii="仿宋_GB2312" w:hAnsi="仿宋_GB2312" w:cs="仿宋_GB2312"/>
          <w:szCs w:val="32"/>
        </w:rPr>
        <w:t xml:space="preserve">  获得专项资金支持的企业、单位应确保申报材料真实性，并承诺同一个项目不重复申领其他中央、省级财政资金的支持。</w:t>
      </w:r>
      <w:r>
        <w:rPr>
          <w:rFonts w:hint="eastAsia" w:ascii="仿宋_GB2312" w:hAnsi="仿宋_GB2312" w:cs="仿宋_GB2312"/>
          <w:szCs w:val="40"/>
        </w:rPr>
        <w:t>收到资金后，应当按照国家有关财务制度规定进行管理和使用，确保专款专用，按照国家统一的会计制度进行会计核算，配合业务主管部门统计报送业务数据，做好资料收集与档案管理工作，并自觉接受相关财政、审计、有关业务主管部门的监督检查。</w:t>
      </w:r>
    </w:p>
    <w:p w14:paraId="363347B1">
      <w:pPr>
        <w:snapToGrid/>
        <w:spacing w:line="560" w:lineRule="exact"/>
        <w:ind w:firstLine="643"/>
        <w:rPr>
          <w:rFonts w:hint="eastAsia" w:ascii="仿宋_GB2312" w:hAnsi="仿宋_GB2312" w:cs="仿宋_GB2312"/>
          <w:szCs w:val="40"/>
        </w:rPr>
      </w:pPr>
      <w:r>
        <w:rPr>
          <w:rFonts w:hint="eastAsia" w:ascii="仿宋_GB2312" w:hAnsi="仿宋_GB2312" w:cs="仿宋_GB2312"/>
          <w:b/>
          <w:bCs/>
          <w:szCs w:val="32"/>
        </w:rPr>
        <w:t>第二十条</w:t>
      </w:r>
      <w:r>
        <w:rPr>
          <w:rFonts w:hint="eastAsia" w:ascii="仿宋_GB2312" w:hAnsi="仿宋_GB2312" w:cs="仿宋_GB2312"/>
          <w:szCs w:val="32"/>
        </w:rPr>
        <w:t xml:space="preserve">  市、县商务部门、财政部门应当加强对项目实施和专项资金的监督管理，</w:t>
      </w:r>
      <w:r>
        <w:rPr>
          <w:rFonts w:hint="eastAsia" w:ascii="仿宋_GB2312" w:hAnsi="仿宋_GB2312" w:cs="仿宋_GB2312"/>
          <w:szCs w:val="40"/>
        </w:rPr>
        <w:t>及时跟进项目建设进度，纠正资金申报、使用等存在问题，及时退出目标已实现或评估低效的项目</w:t>
      </w:r>
      <w:r>
        <w:rPr>
          <w:rFonts w:hint="eastAsia" w:ascii="仿宋_GB2312" w:hAnsi="仿宋_GB2312" w:cs="仿宋_GB2312"/>
          <w:szCs w:val="32"/>
        </w:rPr>
        <w:t>。对检查和评价过程中发现的违规行为采取通报批评、暂停专项资金拨款、中止项目执行、追回已拨资金、取消项目承担单位和负责人项目申报资格等措施予以处理。</w:t>
      </w:r>
      <w:r>
        <w:rPr>
          <w:rFonts w:hint="eastAsia" w:ascii="仿宋_GB2312" w:hAnsi="仿宋_GB2312" w:cs="仿宋_GB2312"/>
          <w:szCs w:val="40"/>
        </w:rPr>
        <w:t>构成犯罪的，依法追究刑事责任。</w:t>
      </w:r>
    </w:p>
    <w:p w14:paraId="503D56DD">
      <w:pPr>
        <w:pStyle w:val="2"/>
        <w:ind w:firstLine="640"/>
      </w:pPr>
    </w:p>
    <w:p w14:paraId="6A8A11F3">
      <w:pPr>
        <w:snapToGrid/>
        <w:spacing w:line="560" w:lineRule="exact"/>
        <w:ind w:firstLine="0" w:firstLineChars="0"/>
        <w:jc w:val="center"/>
        <w:rPr>
          <w:rFonts w:hint="eastAsia" w:ascii="黑体" w:hAnsi="黑体" w:eastAsia="黑体" w:cs="黑体"/>
          <w:szCs w:val="32"/>
        </w:rPr>
      </w:pPr>
      <w:r>
        <w:rPr>
          <w:rFonts w:hint="eastAsia" w:ascii="黑体" w:hAnsi="黑体" w:eastAsia="黑体" w:cs="黑体"/>
          <w:szCs w:val="32"/>
        </w:rPr>
        <w:t>六、附  则</w:t>
      </w:r>
    </w:p>
    <w:p w14:paraId="1A97A23A">
      <w:pPr>
        <w:snapToGrid/>
        <w:spacing w:line="560" w:lineRule="exact"/>
        <w:ind w:firstLine="643"/>
        <w:rPr>
          <w:rFonts w:hint="eastAsia" w:ascii="仿宋_GB2312" w:hAnsi="仿宋_GB2312" w:cs="仿宋_GB2312"/>
          <w:szCs w:val="32"/>
        </w:rPr>
      </w:pPr>
      <w:r>
        <w:rPr>
          <w:rFonts w:hint="eastAsia" w:ascii="仿宋_GB2312" w:hAnsi="仿宋_GB2312" w:cs="仿宋_GB2312"/>
          <w:b/>
          <w:bCs/>
          <w:szCs w:val="32"/>
        </w:rPr>
        <w:t>第二十一条</w:t>
      </w:r>
      <w:r>
        <w:rPr>
          <w:rFonts w:hint="eastAsia" w:ascii="仿宋_GB2312" w:hAnsi="仿宋_GB2312" w:cs="仿宋_GB2312"/>
          <w:szCs w:val="32"/>
        </w:rPr>
        <w:t xml:space="preserve">  本资金管理实施细则由泉州市财政局和泉州市商务局负责解释。</w:t>
      </w:r>
    </w:p>
    <w:p w14:paraId="7D77FE40">
      <w:pPr>
        <w:snapToGrid/>
        <w:spacing w:line="560" w:lineRule="exact"/>
        <w:ind w:firstLine="643"/>
        <w:rPr>
          <w:rFonts w:hint="eastAsia" w:ascii="仿宋_GB2312" w:hAnsi="仿宋_GB2312" w:cs="仿宋_GB2312"/>
        </w:rPr>
      </w:pPr>
      <w:r>
        <w:rPr>
          <w:rFonts w:hint="eastAsia" w:ascii="仿宋_GB2312" w:hAnsi="仿宋_GB2312" w:cs="仿宋_GB2312"/>
          <w:b/>
          <w:bCs/>
          <w:szCs w:val="32"/>
        </w:rPr>
        <w:t>第二十二条</w:t>
      </w:r>
      <w:r>
        <w:rPr>
          <w:rFonts w:hint="eastAsia" w:ascii="仿宋_GB2312" w:hAnsi="仿宋_GB2312" w:cs="仿宋_GB2312"/>
          <w:szCs w:val="32"/>
        </w:rPr>
        <w:t xml:space="preserve">  本细则自印发之日起施行，有效期至泉州市消费新业态新模式新场景试点项目实施周期结束。如上级部门出台新规定，从其规定。</w:t>
      </w:r>
    </w:p>
    <w:p w14:paraId="3E44AC3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395AC"/>
    <w:multiLevelType w:val="singleLevel"/>
    <w:tmpl w:val="027395AC"/>
    <w:lvl w:ilvl="0" w:tentative="0">
      <w:start w:val="1"/>
      <w:numFmt w:val="chineseCounting"/>
      <w:suff w:val="nothing"/>
      <w:lvlText w:val="（%1）"/>
      <w:lvlJc w:val="left"/>
      <w:rPr>
        <w:rFonts w:hint="eastAsia" w:ascii="楷体_GB2312" w:hAnsi="楷体_GB2312" w:eastAsia="楷体_GB2312" w:cs="楷体_GB2312"/>
        <w:color w:val="auto"/>
        <w:sz w:val="32"/>
        <w:szCs w:val="32"/>
      </w:rPr>
    </w:lvl>
  </w:abstractNum>
  <w:abstractNum w:abstractNumId="1">
    <w:nsid w:val="3154305C"/>
    <w:multiLevelType w:val="singleLevel"/>
    <w:tmpl w:val="3154305C"/>
    <w:lvl w:ilvl="0" w:tentative="0">
      <w:start w:val="11"/>
      <w:numFmt w:val="chineseCounting"/>
      <w:suff w:val="space"/>
      <w:lvlText w:val="第%1条"/>
      <w:lvlJc w:val="left"/>
      <w:rPr>
        <w:rFonts w:hint="eastAsia"/>
        <w:b/>
        <w:bCs/>
        <w:color w:val="auto"/>
      </w:rPr>
    </w:lvl>
  </w:abstractNum>
  <w:abstractNum w:abstractNumId="2">
    <w:nsid w:val="7267391B"/>
    <w:multiLevelType w:val="singleLevel"/>
    <w:tmpl w:val="7267391B"/>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57E06"/>
    <w:rsid w:val="7B357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720" w:firstLineChars="200"/>
      <w:jc w:val="both"/>
    </w:pPr>
    <w:rPr>
      <w:rFonts w:ascii="Calibri" w:hAnsi="Calibri"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2026-02-10T07:32:00Z</dcterms:created>
  <dc:creator>a</dc:creator>
  <cp:lastModifiedBy>a</cp:lastModifiedBy>
  <dcterms:modified xsi:type="dcterms:W3CDTF">2026-02-10T07:33:03Z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85BD34260DF54EB68AD7119F4DA32FC1_11</vt:lpwstr>
  </property>
  <property fmtid="{D5CDD505-2E9C-101B-9397-08002B2CF9AE}" pid="4" name="KSOTemplateDocerSaveRecord">
    <vt:lpwstr>eyJoZGlkIjoiMDhhNDk5NzBmYmVlNWExNjk2N2YxZGNlN2Q2N2UzYTcifQ==</vt:lpwstr>
  </property>
</Properties>
</file>